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827B" w14:textId="77777777" w:rsidR="0095746F" w:rsidRPr="00D5751B" w:rsidRDefault="0095746F" w:rsidP="0095746F">
      <w:pPr>
        <w:pStyle w:val="En-tte"/>
        <w:jc w:val="center"/>
        <w:rPr>
          <w:rFonts w:ascii="Century Gothic" w:hAnsi="Century Gothic" w:cstheme="minorHAnsi"/>
          <w:b/>
          <w:color w:val="595959" w:themeColor="text1" w:themeTint="A6"/>
        </w:rPr>
      </w:pPr>
      <w:bookmarkStart w:id="0" w:name="_GoBack"/>
      <w:bookmarkEnd w:id="0"/>
      <w:r w:rsidRPr="00D5751B">
        <w:rPr>
          <w:rFonts w:ascii="Century Gothic" w:hAnsi="Century Gothic" w:cstheme="minorHAnsi"/>
          <w:b/>
          <w:color w:val="595959" w:themeColor="text1" w:themeTint="A6"/>
        </w:rPr>
        <w:t>SYLLABUS DE COURS / ACADEMIC SYLLABUS</w:t>
      </w:r>
    </w:p>
    <w:p w14:paraId="18036AC6" w14:textId="77777777" w:rsidR="0095746F" w:rsidRDefault="0095746F" w:rsidP="0095746F">
      <w:pPr>
        <w:pStyle w:val="En-tte"/>
        <w:jc w:val="center"/>
      </w:pPr>
    </w:p>
    <w:p w14:paraId="5623E959" w14:textId="77777777" w:rsidR="004F56EA" w:rsidRDefault="004F56EA" w:rsidP="0095746F">
      <w:pPr>
        <w:pStyle w:val="En-tte"/>
        <w:jc w:val="center"/>
      </w:pPr>
    </w:p>
    <w:tbl>
      <w:tblPr>
        <w:tblStyle w:val="Grilledutableau"/>
        <w:tblW w:w="0" w:type="auto"/>
        <w:tblLook w:val="04A0" w:firstRow="1" w:lastRow="0" w:firstColumn="1" w:lastColumn="0" w:noHBand="0" w:noVBand="1"/>
      </w:tblPr>
      <w:tblGrid>
        <w:gridCol w:w="2119"/>
        <w:gridCol w:w="6923"/>
      </w:tblGrid>
      <w:tr w:rsidR="002842C9" w:rsidRPr="006D0AA8" w14:paraId="42E959B8" w14:textId="77777777" w:rsidTr="00622E86">
        <w:tc>
          <w:tcPr>
            <w:tcW w:w="9062" w:type="dxa"/>
            <w:gridSpan w:val="2"/>
            <w:tcBorders>
              <w:top w:val="single" w:sz="12" w:space="0" w:color="C00000"/>
              <w:left w:val="single" w:sz="12" w:space="0" w:color="C00000"/>
              <w:bottom w:val="nil"/>
              <w:right w:val="single" w:sz="12" w:space="0" w:color="C00000"/>
            </w:tcBorders>
            <w:vAlign w:val="center"/>
          </w:tcPr>
          <w:p w14:paraId="3ABBD6BF" w14:textId="77777777" w:rsidR="002842C9" w:rsidRPr="00B20C7D" w:rsidRDefault="002842C9">
            <w:pPr>
              <w:rPr>
                <w:rFonts w:ascii="HelveticaNeueLT Com 55 Roman" w:hAnsi="HelveticaNeueLT Com 55 Roman"/>
                <w:lang w:val="en-GB"/>
              </w:rPr>
            </w:pPr>
          </w:p>
          <w:p w14:paraId="42662438" w14:textId="77777777" w:rsidR="00B20C7D" w:rsidRPr="00B20C7D" w:rsidRDefault="00B20C7D" w:rsidP="00B20C7D">
            <w:pPr>
              <w:jc w:val="center"/>
              <w:rPr>
                <w:rFonts w:cstheme="minorHAnsi"/>
                <w:sz w:val="36"/>
                <w:szCs w:val="36"/>
                <w:lang w:val="en-GB"/>
              </w:rPr>
            </w:pPr>
            <w:r w:rsidRPr="00B20C7D">
              <w:rPr>
                <w:rFonts w:cstheme="minorHAnsi"/>
                <w:sz w:val="36"/>
                <w:szCs w:val="36"/>
                <w:u w:val="single"/>
                <w:lang w:val="en-GB"/>
              </w:rPr>
              <w:t>The Use of Force in International Law – Old Problems and Contemporary Practice</w:t>
            </w:r>
          </w:p>
          <w:p w14:paraId="532A27F1" w14:textId="70BA9EAC" w:rsidR="002842C9" w:rsidRPr="005F7504" w:rsidRDefault="002842C9" w:rsidP="00622E86">
            <w:pPr>
              <w:jc w:val="center"/>
              <w:rPr>
                <w:rFonts w:cstheme="minorHAnsi"/>
                <w:sz w:val="36"/>
                <w:szCs w:val="36"/>
                <w:lang w:val="en-GB"/>
              </w:rPr>
            </w:pPr>
          </w:p>
          <w:p w14:paraId="134B1821" w14:textId="77777777" w:rsidR="002842C9" w:rsidRPr="005F7504" w:rsidRDefault="002842C9">
            <w:pPr>
              <w:rPr>
                <w:rFonts w:ascii="HelveticaNeueLT Com 55 Roman" w:hAnsi="HelveticaNeueLT Com 55 Roman"/>
                <w:sz w:val="20"/>
                <w:szCs w:val="20"/>
                <w:lang w:val="en-GB"/>
              </w:rPr>
            </w:pPr>
          </w:p>
        </w:tc>
      </w:tr>
      <w:tr w:rsidR="00622E86" w:rsidRPr="002842C9" w14:paraId="2E181BC7" w14:textId="77777777" w:rsidTr="00622E86">
        <w:tc>
          <w:tcPr>
            <w:tcW w:w="9062" w:type="dxa"/>
            <w:gridSpan w:val="2"/>
            <w:tcBorders>
              <w:top w:val="nil"/>
              <w:left w:val="single" w:sz="12" w:space="0" w:color="C00000"/>
              <w:bottom w:val="nil"/>
              <w:right w:val="single" w:sz="12" w:space="0" w:color="C00000"/>
            </w:tcBorders>
            <w:vAlign w:val="center"/>
          </w:tcPr>
          <w:p w14:paraId="0D23B65F" w14:textId="77777777" w:rsidR="00622E86" w:rsidRPr="002842C9" w:rsidRDefault="00622E86">
            <w:pPr>
              <w:rPr>
                <w:rFonts w:ascii="HelveticaNeueLT Com 55 Roman" w:hAnsi="HelveticaNeueLT Com 55 Roman"/>
              </w:rPr>
            </w:pPr>
            <w:r>
              <w:rPr>
                <w:rFonts w:ascii="HelveticaNeueLT Com 55 Roman" w:hAnsi="HelveticaNeueLT Com 55 Roman"/>
                <w:sz w:val="20"/>
                <w:szCs w:val="20"/>
              </w:rPr>
              <w:t>Intitulé</w:t>
            </w:r>
            <w:r w:rsidRPr="002842C9">
              <w:rPr>
                <w:rFonts w:ascii="HelveticaNeueLT Com 55 Roman" w:hAnsi="HelveticaNeueLT Com 55 Roman"/>
                <w:sz w:val="20"/>
                <w:szCs w:val="20"/>
              </w:rPr>
              <w:t xml:space="preserve"> du cours</w:t>
            </w:r>
            <w:r>
              <w:rPr>
                <w:rFonts w:ascii="HelveticaNeueLT Com 55 Roman" w:hAnsi="HelveticaNeueLT Com 55 Roman"/>
                <w:sz w:val="20"/>
                <w:szCs w:val="20"/>
              </w:rPr>
              <w:t xml:space="preserve"> </w:t>
            </w:r>
            <w:r w:rsidRPr="002842C9">
              <w:rPr>
                <w:rFonts w:ascii="HelveticaNeueLT Com 55 Roman" w:hAnsi="HelveticaNeueLT Com 55 Roman"/>
                <w:sz w:val="20"/>
                <w:szCs w:val="20"/>
              </w:rPr>
              <w:t>/</w:t>
            </w:r>
            <w:r>
              <w:rPr>
                <w:rFonts w:ascii="HelveticaNeueLT Com 55 Roman" w:hAnsi="HelveticaNeueLT Com 55 Roman"/>
                <w:sz w:val="20"/>
                <w:szCs w:val="20"/>
              </w:rPr>
              <w:t xml:space="preserve"> </w:t>
            </w:r>
            <w:r w:rsidRPr="00644196">
              <w:rPr>
                <w:rFonts w:ascii="HelveticaNeueLT Com 55 Roman" w:hAnsi="HelveticaNeueLT Com 55 Roman"/>
                <w:i/>
                <w:sz w:val="18"/>
                <w:szCs w:val="18"/>
              </w:rPr>
              <w:t xml:space="preserve">Course </w:t>
            </w:r>
            <w:proofErr w:type="spellStart"/>
            <w:r w:rsidRPr="00644196">
              <w:rPr>
                <w:rFonts w:ascii="HelveticaNeueLT Com 55 Roman" w:hAnsi="HelveticaNeueLT Com 55 Roman"/>
                <w:i/>
                <w:sz w:val="18"/>
                <w:szCs w:val="18"/>
              </w:rPr>
              <w:t>title</w:t>
            </w:r>
            <w:proofErr w:type="spellEnd"/>
          </w:p>
        </w:tc>
      </w:tr>
      <w:tr w:rsidR="002842C9" w:rsidRPr="002842C9" w14:paraId="29563117" w14:textId="77777777" w:rsidTr="00622E86">
        <w:tc>
          <w:tcPr>
            <w:tcW w:w="2122" w:type="dxa"/>
            <w:tcBorders>
              <w:top w:val="single" w:sz="12" w:space="0" w:color="C00000"/>
              <w:left w:val="single" w:sz="12" w:space="0" w:color="C00000"/>
              <w:bottom w:val="dotted" w:sz="4" w:space="0" w:color="595959" w:themeColor="text1" w:themeTint="A6"/>
              <w:right w:val="dotted" w:sz="4" w:space="0" w:color="595959" w:themeColor="text1" w:themeTint="A6"/>
            </w:tcBorders>
          </w:tcPr>
          <w:p w14:paraId="6DEE5CC9" w14:textId="77777777" w:rsidR="002842C9" w:rsidRDefault="002842C9">
            <w:pPr>
              <w:rPr>
                <w:rFonts w:ascii="HelveticaNeueLT Com 55 Roman" w:hAnsi="HelveticaNeueLT Com 55 Roman"/>
                <w:sz w:val="20"/>
                <w:szCs w:val="20"/>
              </w:rPr>
            </w:pPr>
            <w:r>
              <w:rPr>
                <w:rFonts w:ascii="HelveticaNeueLT Com 55 Roman" w:hAnsi="HelveticaNeueLT Com 55 Roman"/>
                <w:sz w:val="20"/>
                <w:szCs w:val="20"/>
              </w:rPr>
              <w:t>Discipline</w:t>
            </w:r>
          </w:p>
          <w:p w14:paraId="6C6A6D66" w14:textId="77777777" w:rsidR="002842C9" w:rsidRPr="00644196" w:rsidRDefault="002842C9">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field</w:t>
            </w:r>
            <w:proofErr w:type="spellEnd"/>
          </w:p>
        </w:tc>
        <w:tc>
          <w:tcPr>
            <w:tcW w:w="6940" w:type="dxa"/>
            <w:tcBorders>
              <w:top w:val="single" w:sz="12" w:space="0" w:color="C00000"/>
              <w:left w:val="dotted" w:sz="4" w:space="0" w:color="595959" w:themeColor="text1" w:themeTint="A6"/>
              <w:bottom w:val="dotted" w:sz="4" w:space="0" w:color="595959" w:themeColor="text1" w:themeTint="A6"/>
              <w:right w:val="single" w:sz="12" w:space="0" w:color="C00000"/>
            </w:tcBorders>
            <w:vAlign w:val="center"/>
          </w:tcPr>
          <w:p w14:paraId="49F3CEED" w14:textId="0F325665" w:rsidR="002842C9" w:rsidRPr="002842C9" w:rsidRDefault="00B20C7D" w:rsidP="006E686D">
            <w:pPr>
              <w:rPr>
                <w:rFonts w:ascii="HelveticaNeueLT Com 55 Roman" w:hAnsi="HelveticaNeueLT Com 55 Roman"/>
              </w:rPr>
            </w:pPr>
            <w:r>
              <w:rPr>
                <w:rFonts w:ascii="HelveticaNeueLT Com 55 Roman" w:hAnsi="HelveticaNeueLT Com 55 Roman"/>
              </w:rPr>
              <w:t>International Law</w:t>
            </w:r>
          </w:p>
        </w:tc>
      </w:tr>
      <w:tr w:rsidR="002842C9" w:rsidRPr="002842C9" w14:paraId="08BA4D9E"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6AA614C5"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Enseignant</w:t>
            </w:r>
          </w:p>
          <w:p w14:paraId="0077CC78" w14:textId="77777777" w:rsidR="00D04AF1" w:rsidRPr="002666DD" w:rsidRDefault="002666DD">
            <w:pPr>
              <w:rPr>
                <w:rFonts w:ascii="HelveticaNeueLT Com 55 Roman" w:hAnsi="HelveticaNeueLT Com 55 Roman"/>
                <w:i/>
                <w:sz w:val="18"/>
                <w:szCs w:val="18"/>
              </w:rPr>
            </w:pPr>
            <w:r w:rsidRPr="002666DD">
              <w:rPr>
                <w:rFonts w:ascii="HelveticaNeueLT Com 55 Roman" w:hAnsi="HelveticaNeueLT Com 55 Roman"/>
                <w:i/>
                <w:sz w:val="18"/>
                <w:szCs w:val="18"/>
              </w:rPr>
              <w:t>Teacher</w:t>
            </w:r>
            <w:r w:rsidR="00644196" w:rsidRPr="002666DD">
              <w:rPr>
                <w:rFonts w:ascii="HelveticaNeueLT Com 55 Roman" w:hAnsi="HelveticaNeueLT Com 55 Roman"/>
                <w:i/>
                <w:sz w:val="18"/>
                <w:szCs w:val="18"/>
              </w:rPr>
              <w:t xml:space="preserve"> </w:t>
            </w:r>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0EEBD796" w14:textId="1B5AF441" w:rsidR="002842C9" w:rsidRPr="002842C9" w:rsidRDefault="00B20C7D">
            <w:pPr>
              <w:rPr>
                <w:rFonts w:ascii="HelveticaNeueLT Com 55 Roman" w:hAnsi="HelveticaNeueLT Com 55 Roman"/>
              </w:rPr>
            </w:pPr>
            <w:r>
              <w:rPr>
                <w:rFonts w:ascii="HelveticaNeueLT Com 55 Roman" w:hAnsi="HelveticaNeueLT Com 55 Roman"/>
              </w:rPr>
              <w:t xml:space="preserve">Pr. Carlo </w:t>
            </w:r>
            <w:proofErr w:type="spellStart"/>
            <w:r>
              <w:rPr>
                <w:rFonts w:ascii="HelveticaNeueLT Com 55 Roman" w:hAnsi="HelveticaNeueLT Com 55 Roman"/>
              </w:rPr>
              <w:t>Santulli</w:t>
            </w:r>
            <w:proofErr w:type="spellEnd"/>
          </w:p>
        </w:tc>
      </w:tr>
      <w:tr w:rsidR="002842C9" w:rsidRPr="002842C9" w14:paraId="640038F9"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6E40673F"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 xml:space="preserve">Contact </w:t>
            </w:r>
          </w:p>
          <w:p w14:paraId="37C5D0F7"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E-mail </w:t>
            </w:r>
            <w:proofErr w:type="spellStart"/>
            <w:r w:rsidRPr="00644196">
              <w:rPr>
                <w:rFonts w:ascii="HelveticaNeueLT Com 55 Roman" w:hAnsi="HelveticaNeueLT Com 55 Roman"/>
                <w:i/>
                <w:sz w:val="18"/>
                <w:szCs w:val="18"/>
              </w:rPr>
              <w:t>ad</w:t>
            </w:r>
            <w:r w:rsidR="00644196" w:rsidRPr="00644196">
              <w:rPr>
                <w:rFonts w:ascii="HelveticaNeueLT Com 55 Roman" w:hAnsi="HelveticaNeueLT Com 55 Roman"/>
                <w:i/>
                <w:sz w:val="18"/>
                <w:szCs w:val="18"/>
              </w:rPr>
              <w:t>d</w:t>
            </w:r>
            <w:r w:rsidRPr="00644196">
              <w:rPr>
                <w:rFonts w:ascii="HelveticaNeueLT Com 55 Roman" w:hAnsi="HelveticaNeueLT Com 55 Roman"/>
                <w:i/>
                <w:sz w:val="18"/>
                <w:szCs w:val="18"/>
              </w:rPr>
              <w:t>ress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3AEE5358" w14:textId="77777777" w:rsidR="002842C9" w:rsidRPr="002842C9" w:rsidRDefault="002842C9">
            <w:pPr>
              <w:rPr>
                <w:rFonts w:ascii="HelveticaNeueLT Com 55 Roman" w:hAnsi="HelveticaNeueLT Com 55 Roman"/>
              </w:rPr>
            </w:pPr>
          </w:p>
        </w:tc>
      </w:tr>
      <w:tr w:rsidR="002842C9" w:rsidRPr="002842C9" w14:paraId="1400E3A9"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779698C5"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Niveau</w:t>
            </w:r>
            <w:r>
              <w:rPr>
                <w:rFonts w:ascii="HelveticaNeueLT Com 55 Roman" w:hAnsi="HelveticaNeueLT Com 55 Roman"/>
                <w:sz w:val="20"/>
                <w:szCs w:val="20"/>
              </w:rPr>
              <w:t xml:space="preserve"> </w:t>
            </w:r>
            <w:r w:rsidR="00DE233A">
              <w:rPr>
                <w:rFonts w:ascii="HelveticaNeueLT Com 55 Roman" w:hAnsi="HelveticaNeueLT Com 55 Roman"/>
                <w:sz w:val="20"/>
                <w:szCs w:val="20"/>
              </w:rPr>
              <w:t>de formation</w:t>
            </w:r>
          </w:p>
          <w:p w14:paraId="676FC87B"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level</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466B0DE5" w14:textId="79E91B19" w:rsidR="002842C9" w:rsidRPr="002842C9" w:rsidRDefault="008103A3">
            <w:pPr>
              <w:rPr>
                <w:rFonts w:ascii="HelveticaNeueLT Com 55 Roman" w:hAnsi="HelveticaNeueLT Com 55 Roman"/>
              </w:rPr>
            </w:pPr>
            <w:r>
              <w:rPr>
                <w:rFonts w:ascii="HelveticaNeueLT Com 55 Roman" w:hAnsi="HelveticaNeueLT Com 55 Roman"/>
              </w:rPr>
              <w:t xml:space="preserve">4th </w:t>
            </w:r>
            <w:proofErr w:type="spellStart"/>
            <w:r>
              <w:rPr>
                <w:rFonts w:ascii="HelveticaNeueLT Com 55 Roman" w:hAnsi="HelveticaNeueLT Com 55 Roman"/>
              </w:rPr>
              <w:t>Year</w:t>
            </w:r>
            <w:proofErr w:type="spellEnd"/>
          </w:p>
        </w:tc>
      </w:tr>
      <w:tr w:rsidR="002842C9" w:rsidRPr="002842C9" w14:paraId="74A987D8"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012A793B"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Volume horaire</w:t>
            </w:r>
          </w:p>
          <w:p w14:paraId="55796DB3" w14:textId="77777777" w:rsidR="00D04AF1" w:rsidRPr="00644196" w:rsidRDefault="00D04AF1">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Hours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2E725EBF" w14:textId="756AEF6D" w:rsidR="002842C9" w:rsidRPr="002842C9" w:rsidRDefault="00B20C7D">
            <w:pPr>
              <w:rPr>
                <w:rFonts w:ascii="HelveticaNeueLT Com 55 Roman" w:hAnsi="HelveticaNeueLT Com 55 Roman"/>
              </w:rPr>
            </w:pPr>
            <w:r>
              <w:rPr>
                <w:rFonts w:ascii="HelveticaNeueLT Com 55 Roman" w:hAnsi="HelveticaNeueLT Com 55 Roman"/>
              </w:rPr>
              <w:t>20</w:t>
            </w:r>
          </w:p>
        </w:tc>
      </w:tr>
      <w:tr w:rsidR="002842C9" w:rsidRPr="002842C9" w14:paraId="5AA5FBB4" w14:textId="77777777" w:rsidTr="006E686D">
        <w:tc>
          <w:tcPr>
            <w:tcW w:w="2122" w:type="dxa"/>
            <w:tcBorders>
              <w:top w:val="dotted" w:sz="4" w:space="0" w:color="595959" w:themeColor="text1" w:themeTint="A6"/>
              <w:left w:val="single" w:sz="12" w:space="0" w:color="C00000"/>
              <w:bottom w:val="single" w:sz="12" w:space="0" w:color="C00000"/>
              <w:right w:val="dotted" w:sz="4" w:space="0" w:color="595959" w:themeColor="text1" w:themeTint="A6"/>
            </w:tcBorders>
          </w:tcPr>
          <w:p w14:paraId="26CD6E18" w14:textId="77777777" w:rsidR="002842C9" w:rsidRPr="00DE233A" w:rsidRDefault="00DE233A">
            <w:pPr>
              <w:rPr>
                <w:rFonts w:ascii="HelveticaNeueLT Com 55 Roman" w:hAnsi="HelveticaNeueLT Com 55 Roman"/>
                <w:sz w:val="20"/>
                <w:szCs w:val="20"/>
              </w:rPr>
            </w:pPr>
            <w:r w:rsidRPr="00DE233A">
              <w:rPr>
                <w:rFonts w:ascii="HelveticaNeueLT Com 55 Roman" w:hAnsi="HelveticaNeueLT Com 55 Roman"/>
                <w:sz w:val="20"/>
                <w:szCs w:val="20"/>
              </w:rPr>
              <w:t>Langue</w:t>
            </w:r>
          </w:p>
          <w:p w14:paraId="320555AD" w14:textId="77777777" w:rsidR="00DE233A" w:rsidRPr="00644196" w:rsidRDefault="00DE233A">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Language</w:t>
            </w:r>
            <w:proofErr w:type="spellEnd"/>
          </w:p>
        </w:tc>
        <w:tc>
          <w:tcPr>
            <w:tcW w:w="6940" w:type="dxa"/>
            <w:tcBorders>
              <w:top w:val="dotted" w:sz="4" w:space="0" w:color="595959" w:themeColor="text1" w:themeTint="A6"/>
              <w:left w:val="dotted" w:sz="4" w:space="0" w:color="595959" w:themeColor="text1" w:themeTint="A6"/>
              <w:bottom w:val="single" w:sz="12" w:space="0" w:color="C00000"/>
              <w:right w:val="single" w:sz="12" w:space="0" w:color="C00000"/>
            </w:tcBorders>
            <w:vAlign w:val="center"/>
          </w:tcPr>
          <w:p w14:paraId="11B4A837" w14:textId="3D755821" w:rsidR="002842C9" w:rsidRPr="002842C9" w:rsidRDefault="00B20C7D">
            <w:pPr>
              <w:rPr>
                <w:rFonts w:ascii="HelveticaNeueLT Com 55 Roman" w:hAnsi="HelveticaNeueLT Com 55 Roman"/>
              </w:rPr>
            </w:pPr>
            <w:r>
              <w:rPr>
                <w:rFonts w:ascii="HelveticaNeueLT Com 55 Roman" w:hAnsi="HelveticaNeueLT Com 55 Roman"/>
              </w:rPr>
              <w:t>English</w:t>
            </w:r>
          </w:p>
        </w:tc>
      </w:tr>
    </w:tbl>
    <w:p w14:paraId="2CB60B4C" w14:textId="77777777" w:rsidR="007E3401" w:rsidRDefault="007E3401"/>
    <w:p w14:paraId="5EDC3375" w14:textId="77777777" w:rsidR="001B0A76" w:rsidRDefault="001B0A76"/>
    <w:tbl>
      <w:tblPr>
        <w:tblStyle w:val="Grilledutableau"/>
        <w:tblW w:w="0" w:type="auto"/>
        <w:tblLook w:val="04A0" w:firstRow="1" w:lastRow="0" w:firstColumn="1" w:lastColumn="0" w:noHBand="0" w:noVBand="1"/>
      </w:tblPr>
      <w:tblGrid>
        <w:gridCol w:w="9062"/>
      </w:tblGrid>
      <w:tr w:rsidR="007E3401" w14:paraId="112C474A" w14:textId="77777777" w:rsidTr="0072075C">
        <w:tc>
          <w:tcPr>
            <w:tcW w:w="9062" w:type="dxa"/>
            <w:tcBorders>
              <w:top w:val="nil"/>
              <w:left w:val="nil"/>
              <w:bottom w:val="thickThinSmallGap" w:sz="12" w:space="0" w:color="C00000"/>
              <w:right w:val="nil"/>
            </w:tcBorders>
          </w:tcPr>
          <w:p w14:paraId="40AEE8F8" w14:textId="77777777" w:rsidR="007E3401" w:rsidRPr="007E3401" w:rsidRDefault="007E3401" w:rsidP="00644196">
            <w:pPr>
              <w:rPr>
                <w:sz w:val="18"/>
                <w:szCs w:val="18"/>
              </w:rPr>
            </w:pPr>
            <w:r w:rsidRPr="007E3401">
              <w:rPr>
                <w:rFonts w:ascii="HelveticaNeueLT Com 55 Roman" w:hAnsi="HelveticaNeueLT Com 55 Roman"/>
                <w:sz w:val="20"/>
                <w:szCs w:val="20"/>
              </w:rPr>
              <w:t>Description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w:t>
            </w:r>
            <w:proofErr w:type="spellStart"/>
            <w:r w:rsidR="00644196" w:rsidRPr="00644196">
              <w:rPr>
                <w:rFonts w:ascii="HelveticaNeueLT Com 55 Roman" w:hAnsi="HelveticaNeueLT Com 55 Roman"/>
                <w:i/>
                <w:sz w:val="18"/>
                <w:szCs w:val="18"/>
              </w:rPr>
              <w:t>outline</w:t>
            </w:r>
            <w:proofErr w:type="spellEnd"/>
          </w:p>
        </w:tc>
      </w:tr>
      <w:tr w:rsidR="007E3401" w:rsidRPr="006D0AA8" w14:paraId="7D297284" w14:textId="77777777" w:rsidTr="0072075C">
        <w:tc>
          <w:tcPr>
            <w:tcW w:w="9062" w:type="dxa"/>
            <w:tcBorders>
              <w:top w:val="thickThinSmallGap" w:sz="12" w:space="0" w:color="C00000"/>
              <w:left w:val="nil"/>
              <w:bottom w:val="nil"/>
              <w:right w:val="nil"/>
            </w:tcBorders>
          </w:tcPr>
          <w:p w14:paraId="6AB7A983" w14:textId="77777777" w:rsidR="007E3401" w:rsidRPr="004F56EA" w:rsidRDefault="007E3401">
            <w:pPr>
              <w:rPr>
                <w:rFonts w:ascii="HelveticaNeueLT Com 55 Roman" w:hAnsi="HelveticaNeueLT Com 55 Roman"/>
                <w:sz w:val="20"/>
                <w:szCs w:val="20"/>
              </w:rPr>
            </w:pPr>
          </w:p>
          <w:p w14:paraId="22EEF94F" w14:textId="74715272" w:rsidR="007E3401" w:rsidRDefault="00B20C7D">
            <w:pPr>
              <w:rPr>
                <w:rFonts w:ascii="HelveticaNeueLT Com 55 Roman" w:hAnsi="HelveticaNeueLT Com 55 Roman"/>
                <w:sz w:val="20"/>
                <w:szCs w:val="20"/>
                <w:lang w:val="en-GB"/>
              </w:rPr>
            </w:pPr>
            <w:r w:rsidRPr="00B20C7D">
              <w:rPr>
                <w:rFonts w:ascii="HelveticaNeueLT Com 55 Roman" w:hAnsi="HelveticaNeueLT Com 55 Roman"/>
                <w:sz w:val="20"/>
                <w:szCs w:val="20"/>
                <w:lang w:val="en-GB"/>
              </w:rPr>
              <w:t>The course will</w:t>
            </w:r>
            <w:r>
              <w:rPr>
                <w:rFonts w:ascii="HelveticaNeueLT Com 55 Roman" w:hAnsi="HelveticaNeueLT Com 55 Roman"/>
                <w:sz w:val="20"/>
                <w:szCs w:val="20"/>
                <w:lang w:val="en-GB"/>
              </w:rPr>
              <w:t xml:space="preserve"> consider the rules applicable to the use of force in international law and the practice of contemporary international relations.</w:t>
            </w:r>
          </w:p>
          <w:p w14:paraId="534EE63A" w14:textId="77777777" w:rsidR="00B20C7D" w:rsidRDefault="00B20C7D">
            <w:pPr>
              <w:rPr>
                <w:rFonts w:ascii="HelveticaNeueLT Com 55 Roman" w:hAnsi="HelveticaNeueLT Com 55 Roman"/>
                <w:sz w:val="20"/>
                <w:szCs w:val="20"/>
                <w:lang w:val="en-GB"/>
              </w:rPr>
            </w:pPr>
            <w:r>
              <w:rPr>
                <w:rFonts w:ascii="HelveticaNeueLT Com 55 Roman" w:hAnsi="HelveticaNeueLT Com 55 Roman"/>
                <w:sz w:val="20"/>
                <w:szCs w:val="20"/>
                <w:lang w:val="en-GB"/>
              </w:rPr>
              <w:t xml:space="preserve">The doctrine of the </w:t>
            </w:r>
            <w:r w:rsidRPr="00B20C7D">
              <w:rPr>
                <w:rFonts w:ascii="HelveticaNeueLT Com 55 Roman" w:hAnsi="HelveticaNeueLT Com 55 Roman"/>
                <w:i/>
                <w:iCs/>
                <w:sz w:val="20"/>
                <w:szCs w:val="20"/>
                <w:lang w:val="en-GB"/>
              </w:rPr>
              <w:t xml:space="preserve">bellum </w:t>
            </w:r>
            <w:proofErr w:type="spellStart"/>
            <w:r w:rsidRPr="00B20C7D">
              <w:rPr>
                <w:rFonts w:ascii="HelveticaNeueLT Com 55 Roman" w:hAnsi="HelveticaNeueLT Com 55 Roman"/>
                <w:i/>
                <w:iCs/>
                <w:sz w:val="20"/>
                <w:szCs w:val="20"/>
                <w:lang w:val="en-GB"/>
              </w:rPr>
              <w:t>iustum</w:t>
            </w:r>
            <w:proofErr w:type="spellEnd"/>
            <w:r>
              <w:rPr>
                <w:rFonts w:ascii="HelveticaNeueLT Com 55 Roman" w:hAnsi="HelveticaNeueLT Com 55 Roman"/>
                <w:sz w:val="20"/>
                <w:szCs w:val="20"/>
                <w:lang w:val="en-GB"/>
              </w:rPr>
              <w:t xml:space="preserve"> (just war theory) will be considered in its historical perspective (Vitoria a. Suarez, Grotius) and from the point of view of the United Nations Charter, and its contemporary interpretation. The effective practice of the Security Council (including the “negative” practice in situations of non-decision) will be studied through salient cases (the intervention in Libya in particular, with possible discussion of ongoing conflicts).</w:t>
            </w:r>
          </w:p>
          <w:p w14:paraId="40EA7223" w14:textId="77777777" w:rsidR="007E3401" w:rsidRPr="00B20C7D" w:rsidRDefault="007E3401">
            <w:pPr>
              <w:rPr>
                <w:rFonts w:ascii="HelveticaNeueLT Com 55 Roman" w:hAnsi="HelveticaNeueLT Com 55 Roman"/>
                <w:sz w:val="20"/>
                <w:szCs w:val="20"/>
                <w:lang w:val="en-GB"/>
              </w:rPr>
            </w:pPr>
          </w:p>
        </w:tc>
      </w:tr>
    </w:tbl>
    <w:p w14:paraId="3A1B2EEF" w14:textId="77777777" w:rsidR="007E3401" w:rsidRPr="00B20C7D" w:rsidRDefault="007E3401">
      <w:pPr>
        <w:rPr>
          <w:rFonts w:ascii="HelveticaNeueLT Com 55 Roman" w:hAnsi="HelveticaNeueLT Com 55 Roman"/>
          <w:sz w:val="20"/>
          <w:szCs w:val="20"/>
          <w:lang w:val="en-GB"/>
        </w:rPr>
      </w:pPr>
    </w:p>
    <w:tbl>
      <w:tblPr>
        <w:tblStyle w:val="Grilledutableau"/>
        <w:tblW w:w="0" w:type="auto"/>
        <w:tblLook w:val="04A0" w:firstRow="1" w:lastRow="0" w:firstColumn="1" w:lastColumn="0" w:noHBand="0" w:noVBand="1"/>
      </w:tblPr>
      <w:tblGrid>
        <w:gridCol w:w="9062"/>
      </w:tblGrid>
      <w:tr w:rsidR="007E3401" w14:paraId="373AACFC" w14:textId="77777777" w:rsidTr="0072075C">
        <w:tc>
          <w:tcPr>
            <w:tcW w:w="9062" w:type="dxa"/>
            <w:tcBorders>
              <w:top w:val="nil"/>
              <w:left w:val="nil"/>
              <w:bottom w:val="thickThinSmallGap" w:sz="12" w:space="0" w:color="C00000"/>
              <w:right w:val="nil"/>
            </w:tcBorders>
          </w:tcPr>
          <w:p w14:paraId="3FE45FC4" w14:textId="77777777" w:rsidR="007E3401" w:rsidRPr="007E3401" w:rsidRDefault="007E3401" w:rsidP="00082B8D">
            <w:pPr>
              <w:rPr>
                <w:sz w:val="18"/>
                <w:szCs w:val="18"/>
              </w:rPr>
            </w:pPr>
            <w:r>
              <w:rPr>
                <w:rFonts w:ascii="HelveticaNeueLT Com 55 Roman" w:hAnsi="HelveticaNeueLT Com 55 Roman"/>
                <w:sz w:val="20"/>
                <w:szCs w:val="20"/>
              </w:rPr>
              <w:t>Objectifs pédagogiques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Course objectives</w:t>
            </w:r>
          </w:p>
        </w:tc>
      </w:tr>
      <w:tr w:rsidR="007E3401" w:rsidRPr="006D0AA8" w14:paraId="5327B959" w14:textId="77777777" w:rsidTr="0072075C">
        <w:tc>
          <w:tcPr>
            <w:tcW w:w="9062" w:type="dxa"/>
            <w:tcBorders>
              <w:top w:val="thickThinSmallGap" w:sz="12" w:space="0" w:color="C00000"/>
              <w:left w:val="nil"/>
              <w:bottom w:val="nil"/>
              <w:right w:val="nil"/>
            </w:tcBorders>
          </w:tcPr>
          <w:p w14:paraId="12A44796" w14:textId="75A847C3" w:rsidR="00B20C7D" w:rsidRPr="00B20C7D" w:rsidRDefault="00B20C7D" w:rsidP="00B20C7D">
            <w:pPr>
              <w:rPr>
                <w:rFonts w:ascii="HelveticaNeueLT Com 55 Roman" w:hAnsi="HelveticaNeueLT Com 55 Roman"/>
                <w:sz w:val="20"/>
                <w:szCs w:val="20"/>
                <w:lang w:val="en-GB"/>
              </w:rPr>
            </w:pPr>
            <w:r>
              <w:rPr>
                <w:rFonts w:ascii="HelveticaNeueLT Com 55 Roman" w:hAnsi="HelveticaNeueLT Com 55 Roman"/>
                <w:sz w:val="20"/>
                <w:szCs w:val="20"/>
                <w:lang w:val="en-GB"/>
              </w:rPr>
              <w:t xml:space="preserve">The understanding of the function of </w:t>
            </w:r>
            <w:r w:rsidR="006D0AA8">
              <w:rPr>
                <w:rFonts w:ascii="HelveticaNeueLT Com 55 Roman" w:hAnsi="HelveticaNeueLT Com 55 Roman"/>
                <w:sz w:val="20"/>
                <w:szCs w:val="20"/>
                <w:lang w:val="en-GB"/>
              </w:rPr>
              <w:t>international</w:t>
            </w:r>
            <w:r>
              <w:rPr>
                <w:rFonts w:ascii="HelveticaNeueLT Com 55 Roman" w:hAnsi="HelveticaNeueLT Com 55 Roman"/>
                <w:sz w:val="20"/>
                <w:szCs w:val="20"/>
                <w:lang w:val="en-GB"/>
              </w:rPr>
              <w:t xml:space="preserve"> law, and </w:t>
            </w:r>
            <w:r w:rsidR="000E4E64">
              <w:rPr>
                <w:rFonts w:ascii="HelveticaNeueLT Com 55 Roman" w:hAnsi="HelveticaNeueLT Com 55 Roman"/>
                <w:sz w:val="20"/>
                <w:szCs w:val="20"/>
                <w:lang w:val="en-GB"/>
              </w:rPr>
              <w:t xml:space="preserve">of </w:t>
            </w:r>
            <w:r>
              <w:rPr>
                <w:rFonts w:ascii="HelveticaNeueLT Com 55 Roman" w:hAnsi="HelveticaNeueLT Com 55 Roman"/>
                <w:sz w:val="20"/>
                <w:szCs w:val="20"/>
                <w:lang w:val="en-GB"/>
              </w:rPr>
              <w:t xml:space="preserve">the law of war in particular, </w:t>
            </w:r>
            <w:r w:rsidR="006235F5">
              <w:rPr>
                <w:rFonts w:ascii="HelveticaNeueLT Com 55 Roman" w:hAnsi="HelveticaNeueLT Com 55 Roman"/>
                <w:sz w:val="20"/>
                <w:szCs w:val="20"/>
                <w:lang w:val="en-GB"/>
              </w:rPr>
              <w:t xml:space="preserve">in situations of armed conflicts </w:t>
            </w:r>
            <w:r>
              <w:rPr>
                <w:rFonts w:ascii="HelveticaNeueLT Com 55 Roman" w:hAnsi="HelveticaNeueLT Com 55 Roman"/>
                <w:sz w:val="20"/>
                <w:szCs w:val="20"/>
                <w:lang w:val="en-GB"/>
              </w:rPr>
              <w:t xml:space="preserve">is the principal objective of the </w:t>
            </w:r>
            <w:r w:rsidR="000E4E64">
              <w:rPr>
                <w:rFonts w:ascii="HelveticaNeueLT Com 55 Roman" w:hAnsi="HelveticaNeueLT Com 55 Roman"/>
                <w:sz w:val="20"/>
                <w:szCs w:val="20"/>
                <w:lang w:val="en-GB"/>
              </w:rPr>
              <w:t>c</w:t>
            </w:r>
            <w:r>
              <w:rPr>
                <w:rFonts w:ascii="HelveticaNeueLT Com 55 Roman" w:hAnsi="HelveticaNeueLT Com 55 Roman"/>
                <w:sz w:val="20"/>
                <w:szCs w:val="20"/>
                <w:lang w:val="en-GB"/>
              </w:rPr>
              <w:t>ourse</w:t>
            </w:r>
            <w:r w:rsidR="000E4E64">
              <w:rPr>
                <w:rFonts w:ascii="HelveticaNeueLT Com 55 Roman" w:hAnsi="HelveticaNeueLT Com 55 Roman"/>
                <w:sz w:val="20"/>
                <w:szCs w:val="20"/>
                <w:lang w:val="en-GB"/>
              </w:rPr>
              <w:t>. This includes the possibility to evaluate the effectivity of international law, as compared to municipal systems.</w:t>
            </w:r>
          </w:p>
          <w:p w14:paraId="5E4689F7" w14:textId="77777777" w:rsidR="007E3401" w:rsidRPr="00B20C7D" w:rsidRDefault="007E3401" w:rsidP="006235F5">
            <w:pPr>
              <w:rPr>
                <w:rFonts w:ascii="HelveticaNeueLT Com 55 Roman" w:hAnsi="HelveticaNeueLT Com 55 Roman"/>
                <w:sz w:val="20"/>
                <w:szCs w:val="20"/>
                <w:lang w:val="en-GB"/>
              </w:rPr>
            </w:pPr>
          </w:p>
        </w:tc>
      </w:tr>
    </w:tbl>
    <w:p w14:paraId="35FE6566" w14:textId="77777777" w:rsidR="007E3401" w:rsidRPr="00B20C7D" w:rsidRDefault="007E3401">
      <w:pPr>
        <w:rPr>
          <w:rFonts w:ascii="HelveticaNeueLT Com 55 Roman" w:hAnsi="HelveticaNeueLT Com 55 Roman"/>
          <w:sz w:val="20"/>
          <w:szCs w:val="20"/>
          <w:lang w:val="en-GB"/>
        </w:rPr>
      </w:pPr>
    </w:p>
    <w:tbl>
      <w:tblPr>
        <w:tblStyle w:val="Grilledutableau"/>
        <w:tblW w:w="0" w:type="auto"/>
        <w:tblLook w:val="04A0" w:firstRow="1" w:lastRow="0" w:firstColumn="1" w:lastColumn="0" w:noHBand="0" w:noVBand="1"/>
      </w:tblPr>
      <w:tblGrid>
        <w:gridCol w:w="9062"/>
      </w:tblGrid>
      <w:tr w:rsidR="007E3401" w14:paraId="2DEAB618" w14:textId="77777777" w:rsidTr="001B0A76">
        <w:tc>
          <w:tcPr>
            <w:tcW w:w="9062" w:type="dxa"/>
            <w:tcBorders>
              <w:top w:val="nil"/>
              <w:left w:val="nil"/>
              <w:bottom w:val="thickThinSmallGap" w:sz="12" w:space="0" w:color="C00000"/>
              <w:right w:val="nil"/>
            </w:tcBorders>
          </w:tcPr>
          <w:p w14:paraId="7B84BA44" w14:textId="77777777" w:rsidR="007E3401" w:rsidRPr="007E3401" w:rsidRDefault="007E3401" w:rsidP="00082B8D">
            <w:pPr>
              <w:rPr>
                <w:sz w:val="18"/>
                <w:szCs w:val="18"/>
              </w:rPr>
            </w:pPr>
            <w:r>
              <w:rPr>
                <w:rFonts w:ascii="HelveticaNeueLT Com 55 Roman" w:hAnsi="HelveticaNeueLT Com 55 Roman"/>
                <w:sz w:val="20"/>
                <w:szCs w:val="20"/>
              </w:rPr>
              <w:t>Compétences acquises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Learning </w:t>
            </w:r>
            <w:proofErr w:type="spellStart"/>
            <w:r w:rsidRPr="00644196">
              <w:rPr>
                <w:rFonts w:ascii="HelveticaNeueLT Com 55 Roman" w:hAnsi="HelveticaNeueLT Com 55 Roman"/>
                <w:i/>
                <w:sz w:val="18"/>
                <w:szCs w:val="18"/>
              </w:rPr>
              <w:t>outcomes</w:t>
            </w:r>
            <w:proofErr w:type="spellEnd"/>
          </w:p>
        </w:tc>
      </w:tr>
      <w:tr w:rsidR="007E3401" w:rsidRPr="006D0AA8" w14:paraId="0EA6C517" w14:textId="77777777" w:rsidTr="001B0A76">
        <w:tc>
          <w:tcPr>
            <w:tcW w:w="9062" w:type="dxa"/>
            <w:tcBorders>
              <w:top w:val="thickThinSmallGap" w:sz="12" w:space="0" w:color="C00000"/>
              <w:left w:val="nil"/>
              <w:bottom w:val="nil"/>
              <w:right w:val="nil"/>
            </w:tcBorders>
          </w:tcPr>
          <w:p w14:paraId="7F1C21B9" w14:textId="41C41B8B" w:rsidR="005D3B3A" w:rsidRPr="000E4E64" w:rsidRDefault="000E4E64" w:rsidP="005F1711">
            <w:pPr>
              <w:rPr>
                <w:rFonts w:ascii="HelveticaNeueLT Com 55 Roman" w:hAnsi="HelveticaNeueLT Com 55 Roman"/>
                <w:sz w:val="20"/>
                <w:szCs w:val="20"/>
                <w:lang w:val="en-GB"/>
              </w:rPr>
            </w:pPr>
            <w:r w:rsidRPr="000E4E64">
              <w:rPr>
                <w:rFonts w:ascii="HelveticaNeueLT Com 55 Roman" w:hAnsi="HelveticaNeueLT Com 55 Roman"/>
                <w:sz w:val="20"/>
                <w:szCs w:val="20"/>
                <w:lang w:val="en-GB"/>
              </w:rPr>
              <w:t>Knowledge of the principles g</w:t>
            </w:r>
            <w:r>
              <w:rPr>
                <w:rFonts w:ascii="HelveticaNeueLT Com 55 Roman" w:hAnsi="HelveticaNeueLT Com 55 Roman"/>
                <w:sz w:val="20"/>
                <w:szCs w:val="20"/>
                <w:lang w:val="en-GB"/>
              </w:rPr>
              <w:t>overning the use of force in international law and capacity to appreciate the effective functioning of the security Council, as well as the contemporary practice of the main actors of international relations.</w:t>
            </w:r>
          </w:p>
          <w:p w14:paraId="01AAC07A" w14:textId="77777777" w:rsidR="00082B8D" w:rsidRPr="000E4E64" w:rsidRDefault="00082B8D" w:rsidP="005F1711">
            <w:pPr>
              <w:rPr>
                <w:rFonts w:ascii="HelveticaNeueLT Com 55 Roman" w:hAnsi="HelveticaNeueLT Com 55 Roman"/>
                <w:sz w:val="20"/>
                <w:szCs w:val="20"/>
                <w:lang w:val="en-GB"/>
              </w:rPr>
            </w:pPr>
          </w:p>
        </w:tc>
      </w:tr>
    </w:tbl>
    <w:p w14:paraId="2EE3C2C0" w14:textId="77777777" w:rsidR="007E3401" w:rsidRPr="000E4E64" w:rsidRDefault="007E3401">
      <w:pPr>
        <w:rPr>
          <w:rFonts w:ascii="HelveticaNeueLT Com 55 Roman" w:hAnsi="HelveticaNeueLT Com 55 Roman"/>
          <w:sz w:val="20"/>
          <w:szCs w:val="20"/>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86939" w14:paraId="57B39806" w14:textId="77777777" w:rsidTr="0072075C">
        <w:tc>
          <w:tcPr>
            <w:tcW w:w="9062" w:type="dxa"/>
            <w:tcBorders>
              <w:bottom w:val="thickThinSmallGap" w:sz="12" w:space="0" w:color="C00000"/>
            </w:tcBorders>
          </w:tcPr>
          <w:p w14:paraId="72B2FD7D" w14:textId="77777777" w:rsidR="00786939" w:rsidRPr="007E3401" w:rsidRDefault="00786939" w:rsidP="00644196">
            <w:pPr>
              <w:rPr>
                <w:sz w:val="18"/>
                <w:szCs w:val="18"/>
              </w:rPr>
            </w:pPr>
            <w:r>
              <w:rPr>
                <w:rFonts w:ascii="HelveticaNeueLT Com 55 Roman" w:hAnsi="HelveticaNeueLT Com 55 Roman"/>
                <w:sz w:val="20"/>
                <w:szCs w:val="20"/>
              </w:rPr>
              <w:t>Plan de cours par séance</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content </w:t>
            </w:r>
            <w:r w:rsidR="00644196" w:rsidRPr="00644196">
              <w:rPr>
                <w:rFonts w:ascii="HelveticaNeueLT Com 55 Roman" w:hAnsi="HelveticaNeueLT Com 55 Roman"/>
                <w:i/>
                <w:sz w:val="18"/>
                <w:szCs w:val="18"/>
              </w:rPr>
              <w:t xml:space="preserve">for </w:t>
            </w:r>
            <w:proofErr w:type="spellStart"/>
            <w:r w:rsidR="00644196" w:rsidRPr="00644196">
              <w:rPr>
                <w:rFonts w:ascii="HelveticaNeueLT Com 55 Roman" w:hAnsi="HelveticaNeueLT Com 55 Roman"/>
                <w:i/>
                <w:sz w:val="18"/>
                <w:szCs w:val="18"/>
              </w:rPr>
              <w:t>each</w:t>
            </w:r>
            <w:proofErr w:type="spellEnd"/>
            <w:r w:rsidRPr="00644196">
              <w:rPr>
                <w:rFonts w:ascii="HelveticaNeueLT Com 55 Roman" w:hAnsi="HelveticaNeueLT Com 55 Roman"/>
                <w:i/>
                <w:sz w:val="18"/>
                <w:szCs w:val="18"/>
              </w:rPr>
              <w:t xml:space="preserve"> session</w:t>
            </w:r>
          </w:p>
        </w:tc>
      </w:tr>
      <w:tr w:rsidR="00786939" w:rsidRPr="006D0AA8" w14:paraId="6215F4CE" w14:textId="77777777" w:rsidTr="0072075C">
        <w:tc>
          <w:tcPr>
            <w:tcW w:w="9062" w:type="dxa"/>
            <w:tcBorders>
              <w:top w:val="thickThinSmallGap" w:sz="12" w:space="0" w:color="C00000"/>
            </w:tcBorders>
          </w:tcPr>
          <w:p w14:paraId="1FDC0283" w14:textId="77777777" w:rsidR="00786939" w:rsidRDefault="00786939" w:rsidP="005F1711">
            <w:pPr>
              <w:rPr>
                <w:rFonts w:ascii="HelveticaNeueLT Com 55 Roman" w:hAnsi="HelveticaNeueLT Com 55 Roman"/>
                <w:sz w:val="20"/>
                <w:szCs w:val="20"/>
              </w:rPr>
            </w:pPr>
          </w:p>
          <w:p w14:paraId="2AC1A320" w14:textId="1DF80136" w:rsidR="001803CC" w:rsidRPr="001803CC" w:rsidRDefault="00154E84" w:rsidP="005F1711">
            <w:pPr>
              <w:rPr>
                <w:rFonts w:ascii="HelveticaNeueLT Com 55 Roman" w:hAnsi="HelveticaNeueLT Com 55 Roman"/>
                <w:sz w:val="20"/>
                <w:szCs w:val="20"/>
                <w:lang w:val="en-GB"/>
              </w:rPr>
            </w:pPr>
            <w:r>
              <w:rPr>
                <w:rFonts w:ascii="HelveticaNeueLT Com 55 Roman" w:hAnsi="HelveticaNeueLT Com 55 Roman"/>
                <w:sz w:val="20"/>
                <w:szCs w:val="20"/>
                <w:lang w:val="en-GB"/>
              </w:rPr>
              <w:lastRenderedPageBreak/>
              <w:t xml:space="preserve">10 lessons (2H/lesson). </w:t>
            </w:r>
            <w:r w:rsidR="001803CC" w:rsidRPr="001803CC">
              <w:rPr>
                <w:rFonts w:ascii="HelveticaNeueLT Com 55 Roman" w:hAnsi="HelveticaNeueLT Com 55 Roman"/>
                <w:sz w:val="20"/>
                <w:szCs w:val="20"/>
                <w:lang w:val="en-GB"/>
              </w:rPr>
              <w:t xml:space="preserve">General </w:t>
            </w:r>
            <w:r w:rsidR="001803CC">
              <w:rPr>
                <w:rFonts w:ascii="HelveticaNeueLT Com 55 Roman" w:hAnsi="HelveticaNeueLT Com 55 Roman"/>
                <w:sz w:val="20"/>
                <w:szCs w:val="20"/>
                <w:lang w:val="en-GB"/>
              </w:rPr>
              <w:t>elements (subject to change):</w:t>
            </w:r>
          </w:p>
          <w:p w14:paraId="56591762" w14:textId="48F918F8" w:rsidR="00786939" w:rsidRDefault="000E4E64" w:rsidP="005F1711">
            <w:pPr>
              <w:rPr>
                <w:rFonts w:ascii="HelveticaNeueLT Com 55 Roman" w:hAnsi="HelveticaNeueLT Com 55 Roman"/>
                <w:sz w:val="20"/>
                <w:szCs w:val="20"/>
                <w:lang w:val="en-GB"/>
              </w:rPr>
            </w:pPr>
            <w:r w:rsidRPr="000E4E64">
              <w:rPr>
                <w:rFonts w:ascii="HelveticaNeueLT Com 55 Roman" w:hAnsi="HelveticaNeueLT Com 55 Roman"/>
                <w:sz w:val="20"/>
                <w:szCs w:val="20"/>
                <w:lang w:val="en-GB"/>
              </w:rPr>
              <w:t>I. Introduction. The use o</w:t>
            </w:r>
            <w:r>
              <w:rPr>
                <w:rFonts w:ascii="HelveticaNeueLT Com 55 Roman" w:hAnsi="HelveticaNeueLT Com 55 Roman"/>
                <w:sz w:val="20"/>
                <w:szCs w:val="20"/>
                <w:lang w:val="en-GB"/>
              </w:rPr>
              <w:t xml:space="preserve">f force and the doctrine of the </w:t>
            </w:r>
            <w:r w:rsidRPr="001803CC">
              <w:rPr>
                <w:rFonts w:ascii="HelveticaNeueLT Com 55 Roman" w:hAnsi="HelveticaNeueLT Com 55 Roman"/>
                <w:i/>
                <w:iCs/>
                <w:sz w:val="20"/>
                <w:szCs w:val="20"/>
                <w:lang w:val="en-GB"/>
              </w:rPr>
              <w:t xml:space="preserve">bellum </w:t>
            </w:r>
            <w:proofErr w:type="spellStart"/>
            <w:r w:rsidRPr="001803CC">
              <w:rPr>
                <w:rFonts w:ascii="HelveticaNeueLT Com 55 Roman" w:hAnsi="HelveticaNeueLT Com 55 Roman"/>
                <w:i/>
                <w:iCs/>
                <w:sz w:val="20"/>
                <w:szCs w:val="20"/>
                <w:lang w:val="en-GB"/>
              </w:rPr>
              <w:t>iustum</w:t>
            </w:r>
            <w:proofErr w:type="spellEnd"/>
            <w:r w:rsidR="001803CC">
              <w:rPr>
                <w:rFonts w:ascii="HelveticaNeueLT Com 55 Roman" w:hAnsi="HelveticaNeueLT Com 55 Roman"/>
                <w:sz w:val="20"/>
                <w:szCs w:val="20"/>
                <w:lang w:val="en-GB"/>
              </w:rPr>
              <w:t xml:space="preserve"> (just war): The canonists (Vitoria/Suarez), H. Grotius, and selected old applications of that doctrine (Latin America, opium wars).</w:t>
            </w:r>
          </w:p>
          <w:p w14:paraId="32E2E27E" w14:textId="5C2997A6" w:rsidR="00786939" w:rsidRDefault="001803CC" w:rsidP="005F1711">
            <w:pPr>
              <w:rPr>
                <w:rFonts w:ascii="HelveticaNeueLT Com 55 Roman" w:hAnsi="HelveticaNeueLT Com 55 Roman"/>
                <w:sz w:val="20"/>
                <w:szCs w:val="20"/>
                <w:lang w:val="en-GB"/>
              </w:rPr>
            </w:pPr>
            <w:r>
              <w:rPr>
                <w:rFonts w:ascii="HelveticaNeueLT Com 55 Roman" w:hAnsi="HelveticaNeueLT Com 55 Roman"/>
                <w:sz w:val="20"/>
                <w:szCs w:val="20"/>
                <w:lang w:val="en-GB"/>
              </w:rPr>
              <w:t>II. The 20</w:t>
            </w:r>
            <w:r w:rsidRPr="001803CC">
              <w:rPr>
                <w:rFonts w:ascii="HelveticaNeueLT Com 55 Roman" w:hAnsi="HelveticaNeueLT Com 55 Roman"/>
                <w:sz w:val="20"/>
                <w:szCs w:val="20"/>
                <w:vertAlign w:val="superscript"/>
                <w:lang w:val="en-GB"/>
              </w:rPr>
              <w:t>th</w:t>
            </w:r>
            <w:r>
              <w:rPr>
                <w:rFonts w:ascii="HelveticaNeueLT Com 55 Roman" w:hAnsi="HelveticaNeueLT Com 55 Roman"/>
                <w:sz w:val="20"/>
                <w:szCs w:val="20"/>
                <w:lang w:val="en-GB"/>
              </w:rPr>
              <w:t xml:space="preserve"> century and the United Nations Charter. Genesis, general rules (compared to G. </w:t>
            </w:r>
            <w:proofErr w:type="spellStart"/>
            <w:r>
              <w:rPr>
                <w:rFonts w:ascii="HelveticaNeueLT Com 55 Roman" w:hAnsi="HelveticaNeueLT Com 55 Roman"/>
                <w:sz w:val="20"/>
                <w:szCs w:val="20"/>
                <w:lang w:val="en-GB"/>
              </w:rPr>
              <w:t>Scelle</w:t>
            </w:r>
            <w:proofErr w:type="spellEnd"/>
            <w:r>
              <w:rPr>
                <w:rFonts w:ascii="HelveticaNeueLT Com 55 Roman" w:hAnsi="HelveticaNeueLT Com 55 Roman"/>
                <w:sz w:val="20"/>
                <w:szCs w:val="20"/>
                <w:lang w:val="en-GB"/>
              </w:rPr>
              <w:t xml:space="preserve"> doctrines in France), Nicaragua case.</w:t>
            </w:r>
          </w:p>
          <w:p w14:paraId="6C983A60" w14:textId="42A836FA" w:rsidR="001803CC" w:rsidRPr="000E4E64" w:rsidRDefault="001803CC" w:rsidP="005F1711">
            <w:pPr>
              <w:rPr>
                <w:rFonts w:ascii="HelveticaNeueLT Com 55 Roman" w:hAnsi="HelveticaNeueLT Com 55 Roman"/>
                <w:sz w:val="20"/>
                <w:szCs w:val="20"/>
                <w:lang w:val="en-GB"/>
              </w:rPr>
            </w:pPr>
            <w:r>
              <w:rPr>
                <w:rFonts w:ascii="HelveticaNeueLT Com 55 Roman" w:hAnsi="HelveticaNeueLT Com 55 Roman"/>
                <w:sz w:val="20"/>
                <w:szCs w:val="20"/>
                <w:lang w:val="en-GB"/>
              </w:rPr>
              <w:t>III. The institutional rules of the Security Council: veto power, Corean war. Contemporary doctrinal issues: abuse of veto? Eventual reforms (European veto?).</w:t>
            </w:r>
          </w:p>
          <w:p w14:paraId="4517D816" w14:textId="425C3EA7" w:rsidR="00786939" w:rsidRPr="001803CC" w:rsidRDefault="001803CC" w:rsidP="005F1711">
            <w:pPr>
              <w:rPr>
                <w:rFonts w:ascii="HelveticaNeueLT Com 55 Roman" w:hAnsi="HelveticaNeueLT Com 55 Roman"/>
                <w:sz w:val="20"/>
                <w:szCs w:val="20"/>
                <w:lang w:val="en-GB"/>
              </w:rPr>
            </w:pPr>
            <w:r>
              <w:rPr>
                <w:rFonts w:ascii="HelveticaNeueLT Com 55 Roman" w:hAnsi="HelveticaNeueLT Com 55 Roman"/>
                <w:sz w:val="20"/>
                <w:szCs w:val="20"/>
                <w:lang w:val="en-GB"/>
              </w:rPr>
              <w:t xml:space="preserve">IV. </w:t>
            </w:r>
            <w:r w:rsidR="00A96EC7">
              <w:rPr>
                <w:rFonts w:ascii="HelveticaNeueLT Com 55 Roman" w:hAnsi="HelveticaNeueLT Com 55 Roman"/>
                <w:sz w:val="20"/>
                <w:szCs w:val="20"/>
                <w:lang w:val="en-GB"/>
              </w:rPr>
              <w:t xml:space="preserve">Self-defence. </w:t>
            </w:r>
            <w:r>
              <w:rPr>
                <w:rFonts w:ascii="HelveticaNeueLT Com 55 Roman" w:hAnsi="HelveticaNeueLT Com 55 Roman"/>
                <w:sz w:val="20"/>
                <w:szCs w:val="20"/>
                <w:lang w:val="en-GB"/>
              </w:rPr>
              <w:t xml:space="preserve">Collective self-defence. The Charter. </w:t>
            </w:r>
            <w:r w:rsidRPr="005F7504">
              <w:rPr>
                <w:rFonts w:ascii="HelveticaNeueLT Com 55 Roman" w:hAnsi="HelveticaNeueLT Com 55 Roman"/>
                <w:sz w:val="20"/>
                <w:szCs w:val="20"/>
                <w:lang w:val="en-GB"/>
              </w:rPr>
              <w:t xml:space="preserve">R. Quadri’s doctrine. </w:t>
            </w:r>
            <w:r w:rsidRPr="001803CC">
              <w:rPr>
                <w:rFonts w:ascii="HelveticaNeueLT Com 55 Roman" w:hAnsi="HelveticaNeueLT Com 55 Roman"/>
                <w:sz w:val="20"/>
                <w:szCs w:val="20"/>
                <w:lang w:val="en-GB"/>
              </w:rPr>
              <w:t>N</w:t>
            </w:r>
            <w:r>
              <w:rPr>
                <w:rFonts w:ascii="HelveticaNeueLT Com 55 Roman" w:hAnsi="HelveticaNeueLT Com 55 Roman"/>
                <w:sz w:val="20"/>
                <w:szCs w:val="20"/>
                <w:lang w:val="en-GB"/>
              </w:rPr>
              <w:t>ATO</w:t>
            </w:r>
            <w:r w:rsidRPr="001803CC">
              <w:rPr>
                <w:rFonts w:ascii="HelveticaNeueLT Com 55 Roman" w:hAnsi="HelveticaNeueLT Com 55 Roman"/>
                <w:sz w:val="20"/>
                <w:szCs w:val="20"/>
                <w:lang w:val="en-GB"/>
              </w:rPr>
              <w:t xml:space="preserve"> practice after WW2 (general element</w:t>
            </w:r>
            <w:r>
              <w:rPr>
                <w:rFonts w:ascii="HelveticaNeueLT Com 55 Roman" w:hAnsi="HelveticaNeueLT Com 55 Roman"/>
                <w:sz w:val="20"/>
                <w:szCs w:val="20"/>
                <w:lang w:val="en-GB"/>
              </w:rPr>
              <w:t>s, Former Yugoslavia).</w:t>
            </w:r>
            <w:r w:rsidR="00A96EC7">
              <w:rPr>
                <w:rFonts w:ascii="HelveticaNeueLT Com 55 Roman" w:hAnsi="HelveticaNeueLT Com 55 Roman"/>
                <w:sz w:val="20"/>
                <w:szCs w:val="20"/>
                <w:lang w:val="en-GB"/>
              </w:rPr>
              <w:t xml:space="preserve"> </w:t>
            </w:r>
            <w:proofErr w:type="spellStart"/>
            <w:r w:rsidR="00A96EC7">
              <w:rPr>
                <w:rFonts w:ascii="HelveticaNeueLT Com 55 Roman" w:hAnsi="HelveticaNeueLT Com 55 Roman"/>
                <w:sz w:val="20"/>
                <w:szCs w:val="20"/>
                <w:lang w:val="en-GB"/>
              </w:rPr>
              <w:t>Preemptive</w:t>
            </w:r>
            <w:proofErr w:type="spellEnd"/>
            <w:r w:rsidR="00A96EC7">
              <w:rPr>
                <w:rFonts w:ascii="HelveticaNeueLT Com 55 Roman" w:hAnsi="HelveticaNeueLT Com 55 Roman"/>
                <w:sz w:val="20"/>
                <w:szCs w:val="20"/>
                <w:lang w:val="en-GB"/>
              </w:rPr>
              <w:t xml:space="preserve"> (anticipatory) self-defence. Self-</w:t>
            </w:r>
            <w:proofErr w:type="spellStart"/>
            <w:r w:rsidR="00A96EC7">
              <w:rPr>
                <w:rFonts w:ascii="HelveticaNeueLT Com 55 Roman" w:hAnsi="HelveticaNeueLT Com 55 Roman"/>
                <w:sz w:val="20"/>
                <w:szCs w:val="20"/>
                <w:lang w:val="en-GB"/>
              </w:rPr>
              <w:t>defense</w:t>
            </w:r>
            <w:proofErr w:type="spellEnd"/>
            <w:r w:rsidR="00A96EC7">
              <w:rPr>
                <w:rFonts w:ascii="HelveticaNeueLT Com 55 Roman" w:hAnsi="HelveticaNeueLT Com 55 Roman"/>
                <w:sz w:val="20"/>
                <w:szCs w:val="20"/>
                <w:lang w:val="en-GB"/>
              </w:rPr>
              <w:t xml:space="preserve"> a. non-State actors. </w:t>
            </w:r>
          </w:p>
          <w:p w14:paraId="3EC99571" w14:textId="4B0378A5" w:rsidR="00786939" w:rsidRPr="001803CC" w:rsidRDefault="001803CC" w:rsidP="005F1711">
            <w:pPr>
              <w:rPr>
                <w:rFonts w:ascii="HelveticaNeueLT Com 55 Roman" w:hAnsi="HelveticaNeueLT Com 55 Roman"/>
                <w:sz w:val="20"/>
                <w:szCs w:val="20"/>
                <w:lang w:val="en-GB"/>
              </w:rPr>
            </w:pPr>
            <w:r>
              <w:rPr>
                <w:rFonts w:ascii="HelveticaNeueLT Com 55 Roman" w:hAnsi="HelveticaNeueLT Com 55 Roman"/>
                <w:sz w:val="20"/>
                <w:szCs w:val="20"/>
                <w:lang w:val="en-GB"/>
              </w:rPr>
              <w:t>V.</w:t>
            </w:r>
            <w:r w:rsidR="009F14F9">
              <w:rPr>
                <w:rFonts w:ascii="HelveticaNeueLT Com 55 Roman" w:hAnsi="HelveticaNeueLT Com 55 Roman"/>
                <w:sz w:val="20"/>
                <w:szCs w:val="20"/>
                <w:lang w:val="en-GB"/>
              </w:rPr>
              <w:t xml:space="preserve"> </w:t>
            </w:r>
            <w:r w:rsidR="00A96EC7">
              <w:rPr>
                <w:rFonts w:ascii="HelveticaNeueLT Com 55 Roman" w:hAnsi="HelveticaNeueLT Com 55 Roman"/>
                <w:sz w:val="20"/>
                <w:szCs w:val="20"/>
                <w:lang w:val="en-GB"/>
              </w:rPr>
              <w:t xml:space="preserve">The use of force a. secessions: Decolonisation, Kosovo (ICJ adv. Op.), Gibraltar a. Malvinas (Falkland), Crimea, Catalonia, etc. The </w:t>
            </w:r>
            <w:proofErr w:type="spellStart"/>
            <w:r w:rsidR="00A96EC7" w:rsidRPr="00A96EC7">
              <w:rPr>
                <w:rFonts w:ascii="HelveticaNeueLT Com 55 Roman" w:hAnsi="HelveticaNeueLT Com 55 Roman"/>
                <w:i/>
                <w:iCs/>
                <w:sz w:val="20"/>
                <w:szCs w:val="20"/>
                <w:lang w:val="en-GB"/>
              </w:rPr>
              <w:t>uti</w:t>
            </w:r>
            <w:proofErr w:type="spellEnd"/>
            <w:r w:rsidR="00A96EC7" w:rsidRPr="00A96EC7">
              <w:rPr>
                <w:rFonts w:ascii="HelveticaNeueLT Com 55 Roman" w:hAnsi="HelveticaNeueLT Com 55 Roman"/>
                <w:i/>
                <w:iCs/>
                <w:sz w:val="20"/>
                <w:szCs w:val="20"/>
                <w:lang w:val="en-GB"/>
              </w:rPr>
              <w:t xml:space="preserve"> </w:t>
            </w:r>
            <w:proofErr w:type="spellStart"/>
            <w:r w:rsidR="00A96EC7" w:rsidRPr="00A96EC7">
              <w:rPr>
                <w:rFonts w:ascii="HelveticaNeueLT Com 55 Roman" w:hAnsi="HelveticaNeueLT Com 55 Roman"/>
                <w:i/>
                <w:iCs/>
                <w:sz w:val="20"/>
                <w:szCs w:val="20"/>
                <w:lang w:val="en-GB"/>
              </w:rPr>
              <w:t>possidetis</w:t>
            </w:r>
            <w:proofErr w:type="spellEnd"/>
            <w:r w:rsidR="00A96EC7" w:rsidRPr="00A96EC7">
              <w:rPr>
                <w:rFonts w:ascii="HelveticaNeueLT Com 55 Roman" w:hAnsi="HelveticaNeueLT Com 55 Roman"/>
                <w:i/>
                <w:iCs/>
                <w:sz w:val="20"/>
                <w:szCs w:val="20"/>
                <w:lang w:val="en-GB"/>
              </w:rPr>
              <w:t xml:space="preserve"> </w:t>
            </w:r>
            <w:proofErr w:type="spellStart"/>
            <w:r w:rsidR="00A96EC7" w:rsidRPr="00A96EC7">
              <w:rPr>
                <w:rFonts w:ascii="HelveticaNeueLT Com 55 Roman" w:hAnsi="HelveticaNeueLT Com 55 Roman"/>
                <w:i/>
                <w:iCs/>
                <w:sz w:val="20"/>
                <w:szCs w:val="20"/>
                <w:lang w:val="en-GB"/>
              </w:rPr>
              <w:t>iuris</w:t>
            </w:r>
            <w:proofErr w:type="spellEnd"/>
            <w:r w:rsidR="00A96EC7">
              <w:rPr>
                <w:rFonts w:ascii="HelveticaNeueLT Com 55 Roman" w:hAnsi="HelveticaNeueLT Com 55 Roman"/>
                <w:sz w:val="20"/>
                <w:szCs w:val="20"/>
                <w:lang w:val="en-GB"/>
              </w:rPr>
              <w:t xml:space="preserve"> rule in question.</w:t>
            </w:r>
          </w:p>
          <w:p w14:paraId="27C4665C" w14:textId="7CF1AF68" w:rsidR="00786939" w:rsidRPr="001803CC" w:rsidRDefault="00A96EC7" w:rsidP="005F1711">
            <w:pPr>
              <w:rPr>
                <w:rFonts w:ascii="HelveticaNeueLT Com 55 Roman" w:hAnsi="HelveticaNeueLT Com 55 Roman"/>
                <w:sz w:val="20"/>
                <w:szCs w:val="20"/>
                <w:lang w:val="en-GB"/>
              </w:rPr>
            </w:pPr>
            <w:r>
              <w:rPr>
                <w:rFonts w:ascii="HelveticaNeueLT Com 55 Roman" w:hAnsi="HelveticaNeueLT Com 55 Roman"/>
                <w:sz w:val="20"/>
                <w:szCs w:val="20"/>
                <w:lang w:val="en-GB"/>
              </w:rPr>
              <w:t>VI. The practice of the Security Council (selected cases/legal issues):</w:t>
            </w:r>
            <w:r w:rsidR="00E21683">
              <w:rPr>
                <w:rFonts w:ascii="HelveticaNeueLT Com 55 Roman" w:hAnsi="HelveticaNeueLT Com 55 Roman"/>
                <w:sz w:val="20"/>
                <w:szCs w:val="20"/>
                <w:lang w:val="en-GB"/>
              </w:rPr>
              <w:t xml:space="preserve"> Iraq, Libya, Sudan. “Humanitarian Wars”? The responsibility to protect, the democratic</w:t>
            </w:r>
            <w:r>
              <w:rPr>
                <w:rFonts w:ascii="HelveticaNeueLT Com 55 Roman" w:hAnsi="HelveticaNeueLT Com 55 Roman"/>
                <w:sz w:val="20"/>
                <w:szCs w:val="20"/>
                <w:lang w:val="en-GB"/>
              </w:rPr>
              <w:t xml:space="preserve"> </w:t>
            </w:r>
            <w:r w:rsidR="00E21683">
              <w:rPr>
                <w:rFonts w:ascii="HelveticaNeueLT Com 55 Roman" w:hAnsi="HelveticaNeueLT Com 55 Roman"/>
                <w:sz w:val="20"/>
                <w:szCs w:val="20"/>
                <w:lang w:val="en-GB"/>
              </w:rPr>
              <w:t>argument (</w:t>
            </w:r>
            <w:proofErr w:type="spellStart"/>
            <w:r w:rsidR="00E21683">
              <w:rPr>
                <w:rFonts w:ascii="HelveticaNeueLT Com 55 Roman" w:hAnsi="HelveticaNeueLT Com 55 Roman"/>
                <w:sz w:val="20"/>
                <w:szCs w:val="20"/>
                <w:lang w:val="en-GB"/>
              </w:rPr>
              <w:t>arab</w:t>
            </w:r>
            <w:proofErr w:type="spellEnd"/>
            <w:r w:rsidR="00E21683">
              <w:rPr>
                <w:rFonts w:ascii="HelveticaNeueLT Com 55 Roman" w:hAnsi="HelveticaNeueLT Com 55 Roman"/>
                <w:sz w:val="20"/>
                <w:szCs w:val="20"/>
                <w:lang w:val="en-GB"/>
              </w:rPr>
              <w:t xml:space="preserve"> spring?), the human rights argument (cf. EU law).</w:t>
            </w:r>
          </w:p>
          <w:p w14:paraId="3497A20D" w14:textId="6D43C064" w:rsidR="00786939" w:rsidRPr="001803CC" w:rsidRDefault="00E21683" w:rsidP="005F1711">
            <w:pPr>
              <w:rPr>
                <w:rFonts w:ascii="HelveticaNeueLT Com 55 Roman" w:hAnsi="HelveticaNeueLT Com 55 Roman"/>
                <w:sz w:val="20"/>
                <w:szCs w:val="20"/>
                <w:lang w:val="en-GB"/>
              </w:rPr>
            </w:pPr>
            <w:r>
              <w:rPr>
                <w:rFonts w:ascii="HelveticaNeueLT Com 55 Roman" w:hAnsi="HelveticaNeueLT Com 55 Roman"/>
                <w:sz w:val="20"/>
                <w:szCs w:val="20"/>
                <w:lang w:val="en-GB"/>
              </w:rPr>
              <w:t>VII. The new criminal legal challenge: the ICC a. ongoing conflicts (Sudan, Libya, Ukraine, Israel, Ivory Coast?). Immunities and prosecutions.</w:t>
            </w:r>
          </w:p>
          <w:p w14:paraId="3830A344" w14:textId="486ABC3C" w:rsidR="004F56EA" w:rsidRPr="00154E84" w:rsidRDefault="00E21683" w:rsidP="005F1711">
            <w:pPr>
              <w:rPr>
                <w:rFonts w:ascii="HelveticaNeueLT Com 55 Roman" w:hAnsi="HelveticaNeueLT Com 55 Roman"/>
                <w:sz w:val="20"/>
                <w:szCs w:val="20"/>
                <w:lang w:val="en-GB"/>
              </w:rPr>
            </w:pPr>
            <w:r>
              <w:rPr>
                <w:rFonts w:ascii="HelveticaNeueLT Com 55 Roman" w:hAnsi="HelveticaNeueLT Com 55 Roman"/>
                <w:sz w:val="20"/>
                <w:szCs w:val="20"/>
                <w:lang w:val="en-GB"/>
              </w:rPr>
              <w:t xml:space="preserve">VIII. </w:t>
            </w:r>
            <w:r w:rsidR="00154E84">
              <w:rPr>
                <w:rFonts w:ascii="HelveticaNeueLT Com 55 Roman" w:hAnsi="HelveticaNeueLT Com 55 Roman"/>
                <w:sz w:val="20"/>
                <w:szCs w:val="20"/>
                <w:lang w:val="en-GB"/>
              </w:rPr>
              <w:t xml:space="preserve">The “myth” of the peaceful legal order. </w:t>
            </w:r>
            <w:r w:rsidR="00154E84" w:rsidRPr="00154E84">
              <w:rPr>
                <w:rFonts w:ascii="HelveticaNeueLT Com 55 Roman" w:hAnsi="HelveticaNeueLT Com 55 Roman"/>
                <w:sz w:val="20"/>
                <w:szCs w:val="20"/>
                <w:lang w:val="en-GB"/>
              </w:rPr>
              <w:t xml:space="preserve">H. </w:t>
            </w:r>
            <w:proofErr w:type="spellStart"/>
            <w:r w:rsidR="00154E84" w:rsidRPr="00154E84">
              <w:rPr>
                <w:rFonts w:ascii="HelveticaNeueLT Com 55 Roman" w:hAnsi="HelveticaNeueLT Com 55 Roman"/>
                <w:sz w:val="20"/>
                <w:szCs w:val="20"/>
                <w:lang w:val="en-GB"/>
              </w:rPr>
              <w:t>Lauterpacht</w:t>
            </w:r>
            <w:proofErr w:type="spellEnd"/>
            <w:r w:rsidR="00154E84" w:rsidRPr="00154E84">
              <w:rPr>
                <w:rFonts w:ascii="HelveticaNeueLT Com 55 Roman" w:hAnsi="HelveticaNeueLT Com 55 Roman"/>
                <w:sz w:val="20"/>
                <w:szCs w:val="20"/>
                <w:lang w:val="en-GB"/>
              </w:rPr>
              <w:t xml:space="preserve"> a. R. Aron </w:t>
            </w:r>
            <w:r w:rsidR="00154E84" w:rsidRPr="00154E84">
              <w:rPr>
                <w:rFonts w:ascii="HelveticaNeueLT Com 55 Roman" w:hAnsi="HelveticaNeueLT Com 55 Roman"/>
                <w:i/>
                <w:iCs/>
                <w:sz w:val="20"/>
                <w:szCs w:val="20"/>
                <w:lang w:val="en-GB"/>
              </w:rPr>
              <w:t>vs</w:t>
            </w:r>
            <w:r w:rsidR="00154E84" w:rsidRPr="00154E84">
              <w:rPr>
                <w:rFonts w:ascii="HelveticaNeueLT Com 55 Roman" w:hAnsi="HelveticaNeueLT Com 55 Roman"/>
                <w:sz w:val="20"/>
                <w:szCs w:val="20"/>
                <w:lang w:val="en-GB"/>
              </w:rPr>
              <w:t xml:space="preserve"> H. K</w:t>
            </w:r>
            <w:r w:rsidR="00154E84">
              <w:rPr>
                <w:rFonts w:ascii="HelveticaNeueLT Com 55 Roman" w:hAnsi="HelveticaNeueLT Com 55 Roman"/>
                <w:sz w:val="20"/>
                <w:szCs w:val="20"/>
                <w:lang w:val="en-GB"/>
              </w:rPr>
              <w:t xml:space="preserve">elsen. The efficiency and “morals” of </w:t>
            </w:r>
            <w:r w:rsidR="006235F5">
              <w:rPr>
                <w:rFonts w:ascii="HelveticaNeueLT Com 55 Roman" w:hAnsi="HelveticaNeueLT Com 55 Roman"/>
                <w:sz w:val="20"/>
                <w:szCs w:val="20"/>
                <w:lang w:val="en-GB"/>
              </w:rPr>
              <w:t>i</w:t>
            </w:r>
            <w:r w:rsidR="00154E84">
              <w:rPr>
                <w:rFonts w:ascii="HelveticaNeueLT Com 55 Roman" w:hAnsi="HelveticaNeueLT Com 55 Roman"/>
                <w:sz w:val="20"/>
                <w:szCs w:val="20"/>
                <w:lang w:val="en-GB"/>
              </w:rPr>
              <w:t xml:space="preserve">nternational law as compared to municipal legal systems (internal </w:t>
            </w:r>
            <w:r w:rsidR="00154E84" w:rsidRPr="00154E84">
              <w:rPr>
                <w:rFonts w:ascii="HelveticaNeueLT Com 55 Roman" w:hAnsi="HelveticaNeueLT Com 55 Roman"/>
                <w:i/>
                <w:iCs/>
                <w:sz w:val="20"/>
                <w:szCs w:val="20"/>
                <w:lang w:val="en-GB"/>
              </w:rPr>
              <w:t>vs</w:t>
            </w:r>
            <w:r w:rsidR="00154E84">
              <w:rPr>
                <w:rFonts w:ascii="HelveticaNeueLT Com 55 Roman" w:hAnsi="HelveticaNeueLT Com 55 Roman"/>
                <w:sz w:val="20"/>
                <w:szCs w:val="20"/>
                <w:lang w:val="en-GB"/>
              </w:rPr>
              <w:t xml:space="preserve"> international, or external, use of force).</w:t>
            </w:r>
          </w:p>
          <w:p w14:paraId="3CF439AD" w14:textId="31246341" w:rsidR="004F56EA" w:rsidRDefault="00E21683" w:rsidP="005F1711">
            <w:pPr>
              <w:rPr>
                <w:rFonts w:ascii="HelveticaNeueLT Com 55 Roman" w:hAnsi="HelveticaNeueLT Com 55 Roman"/>
                <w:sz w:val="20"/>
                <w:szCs w:val="20"/>
                <w:lang w:val="en-GB"/>
              </w:rPr>
            </w:pPr>
            <w:r w:rsidRPr="00154E84">
              <w:rPr>
                <w:rFonts w:ascii="HelveticaNeueLT Com 55 Roman" w:hAnsi="HelveticaNeueLT Com 55 Roman"/>
                <w:sz w:val="20"/>
                <w:szCs w:val="20"/>
                <w:lang w:val="en-GB"/>
              </w:rPr>
              <w:t xml:space="preserve">IX. </w:t>
            </w:r>
            <w:r w:rsidR="00154E84">
              <w:rPr>
                <w:rFonts w:ascii="HelveticaNeueLT Com 55 Roman" w:hAnsi="HelveticaNeueLT Com 55 Roman"/>
                <w:sz w:val="20"/>
                <w:szCs w:val="20"/>
                <w:lang w:val="en-GB"/>
              </w:rPr>
              <w:t>Applications to ongoing conflicts. Open discussion on pending situations (based on the international situation at the day of the course).</w:t>
            </w:r>
          </w:p>
          <w:p w14:paraId="72848CAE" w14:textId="222B0859" w:rsidR="00786939" w:rsidRPr="005F7504" w:rsidRDefault="00154E84" w:rsidP="005F1711">
            <w:pPr>
              <w:rPr>
                <w:rFonts w:ascii="HelveticaNeueLT Com 55 Roman" w:hAnsi="HelveticaNeueLT Com 55 Roman"/>
                <w:sz w:val="20"/>
                <w:szCs w:val="20"/>
                <w:lang w:val="en-GB"/>
              </w:rPr>
            </w:pPr>
            <w:r>
              <w:rPr>
                <w:rFonts w:ascii="HelveticaNeueLT Com 55 Roman" w:hAnsi="HelveticaNeueLT Com 55 Roman"/>
                <w:sz w:val="20"/>
                <w:szCs w:val="20"/>
                <w:lang w:val="en-GB"/>
              </w:rPr>
              <w:t>X. Conclusions: war, peace and international law – what is the function of international rules in international military crisis?</w:t>
            </w:r>
          </w:p>
        </w:tc>
      </w:tr>
    </w:tbl>
    <w:p w14:paraId="7F5D7DF1" w14:textId="77777777" w:rsidR="00786939" w:rsidRPr="005F7504" w:rsidRDefault="00786939">
      <w:pPr>
        <w:rPr>
          <w:rFonts w:ascii="HelveticaNeueLT Com 55 Roman" w:hAnsi="HelveticaNeueLT Com 55 Roman"/>
          <w:sz w:val="20"/>
          <w:szCs w:val="20"/>
          <w:lang w:val="en-GB"/>
        </w:rPr>
      </w:pPr>
    </w:p>
    <w:tbl>
      <w:tblPr>
        <w:tblStyle w:val="Grilledutableau"/>
        <w:tblW w:w="0" w:type="auto"/>
        <w:tblLook w:val="04A0" w:firstRow="1" w:lastRow="0" w:firstColumn="1" w:lastColumn="0" w:noHBand="0" w:noVBand="1"/>
      </w:tblPr>
      <w:tblGrid>
        <w:gridCol w:w="9062"/>
      </w:tblGrid>
      <w:tr w:rsidR="0095746F" w14:paraId="0BC0B150" w14:textId="77777777" w:rsidTr="0072075C">
        <w:tc>
          <w:tcPr>
            <w:tcW w:w="9062" w:type="dxa"/>
            <w:tcBorders>
              <w:top w:val="nil"/>
              <w:left w:val="nil"/>
              <w:bottom w:val="thickThinSmallGap" w:sz="12" w:space="0" w:color="C00000"/>
              <w:right w:val="nil"/>
            </w:tcBorders>
          </w:tcPr>
          <w:p w14:paraId="40B57119" w14:textId="77777777" w:rsidR="0095746F" w:rsidRPr="007E3401" w:rsidRDefault="0095746F" w:rsidP="00082B8D">
            <w:pPr>
              <w:rPr>
                <w:sz w:val="18"/>
                <w:szCs w:val="18"/>
              </w:rPr>
            </w:pPr>
            <w:r>
              <w:rPr>
                <w:rFonts w:ascii="HelveticaNeueLT Com 55 Roman" w:hAnsi="HelveticaNeueLT Com 55 Roman"/>
                <w:sz w:val="20"/>
                <w:szCs w:val="20"/>
              </w:rPr>
              <w:t>Références bibliographiques</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Bibliography</w:t>
            </w:r>
          </w:p>
        </w:tc>
      </w:tr>
      <w:tr w:rsidR="0095746F" w:rsidRPr="005F7504" w14:paraId="32FFA8BE" w14:textId="77777777" w:rsidTr="0072075C">
        <w:tc>
          <w:tcPr>
            <w:tcW w:w="9062" w:type="dxa"/>
            <w:tcBorders>
              <w:top w:val="thickThinSmallGap" w:sz="12" w:space="0" w:color="C00000"/>
              <w:left w:val="nil"/>
              <w:bottom w:val="nil"/>
              <w:right w:val="nil"/>
            </w:tcBorders>
          </w:tcPr>
          <w:p w14:paraId="7A5F0CBF" w14:textId="77777777" w:rsidR="0095746F" w:rsidRPr="00160377" w:rsidRDefault="0095746F" w:rsidP="005F1711">
            <w:pPr>
              <w:rPr>
                <w:rFonts w:ascii="HelveticaNeueLT Com 55 Roman" w:hAnsi="HelveticaNeueLT Com 55 Roman"/>
                <w:sz w:val="20"/>
                <w:szCs w:val="20"/>
                <w:lang w:val="en-GB"/>
              </w:rPr>
            </w:pPr>
          </w:p>
          <w:p w14:paraId="472A9C49" w14:textId="1E1D5D67" w:rsidR="0095746F" w:rsidRPr="006D0AA8" w:rsidRDefault="00160377" w:rsidP="005F1711">
            <w:pPr>
              <w:rPr>
                <w:rFonts w:ascii="HelveticaNeueLT Com 55 Roman" w:hAnsi="HelveticaNeueLT Com 55 Roman"/>
                <w:sz w:val="20"/>
                <w:szCs w:val="20"/>
              </w:rPr>
            </w:pPr>
            <w:r w:rsidRPr="00160377">
              <w:rPr>
                <w:rFonts w:ascii="HelveticaNeueLT Com 55 Roman" w:hAnsi="HelveticaNeueLT Com 55 Roman"/>
                <w:sz w:val="20"/>
                <w:szCs w:val="20"/>
                <w:lang w:val="en-GB"/>
              </w:rPr>
              <w:t xml:space="preserve">O. Corten, T. Ruys a. A. Hofer (ed.), </w:t>
            </w:r>
            <w:r w:rsidRPr="00AD3AC0">
              <w:rPr>
                <w:rFonts w:ascii="HelveticaNeueLT Com 55 Roman" w:hAnsi="HelveticaNeueLT Com 55 Roman"/>
                <w:i/>
                <w:iCs/>
                <w:sz w:val="20"/>
                <w:szCs w:val="20"/>
                <w:lang w:val="en-GB"/>
              </w:rPr>
              <w:t>The Use of Force in International Law</w:t>
            </w:r>
            <w:r w:rsidRPr="00160377">
              <w:rPr>
                <w:rFonts w:ascii="HelveticaNeueLT Com 55 Roman" w:hAnsi="HelveticaNeueLT Com 55 Roman"/>
                <w:i/>
                <w:iCs/>
                <w:sz w:val="20"/>
                <w:szCs w:val="20"/>
                <w:lang w:val="en-GB"/>
              </w:rPr>
              <w:t xml:space="preserve">. </w:t>
            </w:r>
            <w:r w:rsidRPr="00AD3AC0">
              <w:rPr>
                <w:rFonts w:ascii="HelveticaNeueLT Com 55 Roman" w:hAnsi="HelveticaNeueLT Com 55 Roman"/>
                <w:i/>
                <w:iCs/>
                <w:sz w:val="20"/>
                <w:szCs w:val="20"/>
                <w:lang w:val="en-GB"/>
              </w:rPr>
              <w:t>A Case-Based Approach</w:t>
            </w:r>
            <w:r w:rsidRPr="00160377">
              <w:rPr>
                <w:rFonts w:ascii="HelveticaNeueLT Com 55 Roman" w:hAnsi="HelveticaNeueLT Com 55 Roman"/>
                <w:sz w:val="20"/>
                <w:szCs w:val="20"/>
                <w:lang w:val="en-GB"/>
              </w:rPr>
              <w:t>, Oxford, Oxford Univ. Press, 2018.</w:t>
            </w:r>
            <w:r w:rsidRPr="00160377">
              <w:rPr>
                <w:rFonts w:ascii="HelveticaNeueLT Com 55 Roman" w:hAnsi="HelveticaNeueLT Com 55 Roman"/>
                <w:i/>
                <w:iCs/>
                <w:sz w:val="20"/>
                <w:szCs w:val="20"/>
                <w:lang w:val="en-GB"/>
              </w:rPr>
              <w:t xml:space="preserve"> </w:t>
            </w:r>
            <w:r w:rsidRPr="006D0AA8">
              <w:rPr>
                <w:rFonts w:ascii="HelveticaNeueLT Com 55 Roman" w:hAnsi="HelveticaNeueLT Com 55 Roman"/>
                <w:sz w:val="20"/>
                <w:szCs w:val="20"/>
              </w:rPr>
              <w:t xml:space="preserve">C. </w:t>
            </w:r>
            <w:proofErr w:type="spellStart"/>
            <w:r w:rsidRPr="006D0AA8">
              <w:rPr>
                <w:rFonts w:ascii="HelveticaNeueLT Com 55 Roman" w:hAnsi="HelveticaNeueLT Com 55 Roman"/>
                <w:sz w:val="20"/>
                <w:szCs w:val="20"/>
              </w:rPr>
              <w:t>Santulli</w:t>
            </w:r>
            <w:proofErr w:type="spellEnd"/>
            <w:r w:rsidRPr="006D0AA8">
              <w:rPr>
                <w:rFonts w:ascii="HelveticaNeueLT Com 55 Roman" w:hAnsi="HelveticaNeueLT Com 55 Roman"/>
                <w:sz w:val="20"/>
                <w:szCs w:val="20"/>
              </w:rPr>
              <w:t>,</w:t>
            </w:r>
            <w:r w:rsidRPr="006D0AA8">
              <w:rPr>
                <w:rFonts w:ascii="HelveticaNeueLT Com 55 Roman" w:hAnsi="HelveticaNeueLT Com 55 Roman"/>
                <w:i/>
                <w:iCs/>
                <w:sz w:val="20"/>
                <w:szCs w:val="20"/>
              </w:rPr>
              <w:t xml:space="preserve"> “</w:t>
            </w:r>
            <w:r w:rsidRPr="006D0AA8">
              <w:rPr>
                <w:rFonts w:ascii="HelveticaNeueLT Com 55 Roman" w:hAnsi="HelveticaNeueLT Com 55 Roman"/>
                <w:sz w:val="20"/>
                <w:szCs w:val="20"/>
              </w:rPr>
              <w:t xml:space="preserve">Relative </w:t>
            </w:r>
            <w:proofErr w:type="spellStart"/>
            <w:r w:rsidRPr="006D0AA8">
              <w:rPr>
                <w:rFonts w:ascii="HelveticaNeueLT Com 55 Roman" w:hAnsi="HelveticaNeueLT Com 55 Roman"/>
                <w:sz w:val="20"/>
                <w:szCs w:val="20"/>
              </w:rPr>
              <w:t>sovereignty</w:t>
            </w:r>
            <w:proofErr w:type="spellEnd"/>
            <w:r w:rsidRPr="006D0AA8">
              <w:rPr>
                <w:rFonts w:ascii="HelveticaNeueLT Com 55 Roman" w:hAnsi="HelveticaNeueLT Com 55 Roman"/>
                <w:sz w:val="20"/>
                <w:szCs w:val="20"/>
              </w:rPr>
              <w:t xml:space="preserve"> – Expansion and limitation of State </w:t>
            </w:r>
            <w:proofErr w:type="spellStart"/>
            <w:r w:rsidRPr="006D0AA8">
              <w:rPr>
                <w:rFonts w:ascii="HelveticaNeueLT Com 55 Roman" w:hAnsi="HelveticaNeueLT Com 55 Roman"/>
                <w:sz w:val="20"/>
                <w:szCs w:val="20"/>
              </w:rPr>
              <w:t>sovereignty</w:t>
            </w:r>
            <w:proofErr w:type="spellEnd"/>
            <w:proofErr w:type="gramStart"/>
            <w:r w:rsidRPr="006D0AA8">
              <w:rPr>
                <w:rFonts w:ascii="HelveticaNeueLT Com 55 Roman" w:hAnsi="HelveticaNeueLT Com 55 Roman"/>
                <w:i/>
                <w:iCs/>
                <w:sz w:val="20"/>
                <w:szCs w:val="20"/>
              </w:rPr>
              <w:t>”</w:t>
            </w:r>
            <w:r w:rsidRPr="006D0AA8">
              <w:rPr>
                <w:rFonts w:ascii="HelveticaNeueLT Com 55 Roman" w:hAnsi="HelveticaNeueLT Com 55 Roman"/>
                <w:sz w:val="20"/>
                <w:szCs w:val="20"/>
              </w:rPr>
              <w:t>;</w:t>
            </w:r>
            <w:proofErr w:type="gramEnd"/>
            <w:r w:rsidRPr="006D0AA8">
              <w:rPr>
                <w:rFonts w:ascii="HelveticaNeueLT Com 55 Roman" w:hAnsi="HelveticaNeueLT Com 55 Roman"/>
                <w:sz w:val="20"/>
                <w:szCs w:val="20"/>
              </w:rPr>
              <w:t xml:space="preserve"> M. </w:t>
            </w:r>
            <w:proofErr w:type="spellStart"/>
            <w:r w:rsidRPr="006D0AA8">
              <w:rPr>
                <w:rFonts w:ascii="HelveticaNeueLT Com 55 Roman" w:hAnsi="HelveticaNeueLT Com 55 Roman"/>
                <w:sz w:val="20"/>
                <w:szCs w:val="20"/>
              </w:rPr>
              <w:t>Filatova</w:t>
            </w:r>
            <w:proofErr w:type="spellEnd"/>
            <w:r w:rsidRPr="006D0AA8">
              <w:rPr>
                <w:rFonts w:ascii="HelveticaNeueLT Com 55 Roman" w:hAnsi="HelveticaNeueLT Com 55 Roman"/>
                <w:sz w:val="20"/>
                <w:szCs w:val="20"/>
              </w:rPr>
              <w:t xml:space="preserve">, </w:t>
            </w:r>
            <w:r w:rsidRPr="006D0AA8">
              <w:rPr>
                <w:rFonts w:ascii="HelveticaNeueLT Com 55 Roman" w:hAnsi="HelveticaNeueLT Com 55 Roman"/>
                <w:i/>
                <w:iCs/>
                <w:sz w:val="20"/>
                <w:szCs w:val="20"/>
              </w:rPr>
              <w:t>“</w:t>
            </w:r>
            <w:proofErr w:type="spellStart"/>
            <w:r w:rsidRPr="006D0AA8">
              <w:rPr>
                <w:rFonts w:ascii="HelveticaNeueLT Com 55 Roman" w:hAnsi="HelveticaNeueLT Com 55 Roman"/>
                <w:sz w:val="20"/>
                <w:szCs w:val="20"/>
              </w:rPr>
              <w:t>Friendly</w:t>
            </w:r>
            <w:proofErr w:type="spellEnd"/>
            <w:r w:rsidRPr="006D0AA8">
              <w:rPr>
                <w:rFonts w:ascii="HelveticaNeueLT Com 55 Roman" w:hAnsi="HelveticaNeueLT Com 55 Roman"/>
                <w:sz w:val="20"/>
                <w:szCs w:val="20"/>
              </w:rPr>
              <w:t xml:space="preserve"> </w:t>
            </w:r>
            <w:proofErr w:type="spellStart"/>
            <w:r w:rsidRPr="006D0AA8">
              <w:rPr>
                <w:rFonts w:ascii="HelveticaNeueLT Com 55 Roman" w:hAnsi="HelveticaNeueLT Com 55 Roman"/>
                <w:sz w:val="20"/>
                <w:szCs w:val="20"/>
              </w:rPr>
              <w:t>settlement</w:t>
            </w:r>
            <w:proofErr w:type="spellEnd"/>
            <w:r w:rsidRPr="006D0AA8">
              <w:rPr>
                <w:rFonts w:ascii="HelveticaNeueLT Com 55 Roman" w:hAnsi="HelveticaNeueLT Com 55 Roman"/>
                <w:sz w:val="20"/>
                <w:szCs w:val="20"/>
              </w:rPr>
              <w:t xml:space="preserve"> of international disputes: a new </w:t>
            </w:r>
            <w:proofErr w:type="spellStart"/>
            <w:r w:rsidRPr="006D0AA8">
              <w:rPr>
                <w:rFonts w:ascii="HelveticaNeueLT Com 55 Roman" w:hAnsi="HelveticaNeueLT Com 55 Roman"/>
                <w:sz w:val="20"/>
                <w:szCs w:val="20"/>
              </w:rPr>
              <w:t>paradigm</w:t>
            </w:r>
            <w:proofErr w:type="spellEnd"/>
            <w:r w:rsidRPr="006D0AA8">
              <w:rPr>
                <w:rFonts w:ascii="HelveticaNeueLT Com 55 Roman" w:hAnsi="HelveticaNeueLT Com 55 Roman"/>
                <w:sz w:val="20"/>
                <w:szCs w:val="20"/>
              </w:rPr>
              <w:t xml:space="preserve"> of international dispute </w:t>
            </w:r>
            <w:proofErr w:type="spellStart"/>
            <w:r w:rsidRPr="006D0AA8">
              <w:rPr>
                <w:rFonts w:ascii="HelveticaNeueLT Com 55 Roman" w:hAnsi="HelveticaNeueLT Com 55 Roman"/>
                <w:sz w:val="20"/>
                <w:szCs w:val="20"/>
              </w:rPr>
              <w:t>resolution</w:t>
            </w:r>
            <w:proofErr w:type="spellEnd"/>
            <w:r w:rsidRPr="006D0AA8">
              <w:rPr>
                <w:rFonts w:ascii="HelveticaNeueLT Com 55 Roman" w:hAnsi="HelveticaNeueLT Com 55 Roman"/>
                <w:i/>
                <w:iCs/>
                <w:sz w:val="20"/>
                <w:szCs w:val="20"/>
              </w:rPr>
              <w:t>”</w:t>
            </w:r>
            <w:r w:rsidRPr="006D0AA8">
              <w:rPr>
                <w:rFonts w:ascii="HelveticaNeueLT Com 55 Roman" w:hAnsi="HelveticaNeueLT Com 55 Roman"/>
                <w:sz w:val="20"/>
                <w:szCs w:val="20"/>
              </w:rPr>
              <w:t xml:space="preserve">; O. </w:t>
            </w:r>
            <w:proofErr w:type="spellStart"/>
            <w:r w:rsidRPr="006D0AA8">
              <w:rPr>
                <w:rFonts w:ascii="HelveticaNeueLT Com 55 Roman" w:hAnsi="HelveticaNeueLT Com 55 Roman"/>
                <w:sz w:val="20"/>
                <w:szCs w:val="20"/>
              </w:rPr>
              <w:t>Corten</w:t>
            </w:r>
            <w:proofErr w:type="spellEnd"/>
            <w:r w:rsidRPr="006D0AA8">
              <w:rPr>
                <w:rFonts w:ascii="HelveticaNeueLT Com 55 Roman" w:hAnsi="HelveticaNeueLT Com 55 Roman"/>
                <w:sz w:val="20"/>
                <w:szCs w:val="20"/>
              </w:rPr>
              <w:t>, « La lutte contre le terrorisme : une « cause</w:t>
            </w:r>
            <w:r w:rsidR="005F7504" w:rsidRPr="006D0AA8">
              <w:rPr>
                <w:rFonts w:ascii="HelveticaNeueLT Com 55 Roman" w:hAnsi="HelveticaNeueLT Com 55 Roman"/>
                <w:sz w:val="20"/>
                <w:szCs w:val="20"/>
              </w:rPr>
              <w:t> </w:t>
            </w:r>
            <w:r w:rsidRPr="006D0AA8">
              <w:rPr>
                <w:rFonts w:ascii="HelveticaNeueLT Com 55 Roman" w:hAnsi="HelveticaNeueLT Com 55 Roman"/>
                <w:sz w:val="20"/>
                <w:szCs w:val="20"/>
              </w:rPr>
              <w:t xml:space="preserve">» de guerre ? »; H. </w:t>
            </w:r>
            <w:proofErr w:type="spellStart"/>
            <w:r w:rsidRPr="006D0AA8">
              <w:rPr>
                <w:rFonts w:ascii="HelveticaNeueLT Com 55 Roman" w:hAnsi="HelveticaNeueLT Com 55 Roman"/>
                <w:sz w:val="20"/>
                <w:szCs w:val="20"/>
              </w:rPr>
              <w:t>Azari</w:t>
            </w:r>
            <w:proofErr w:type="spellEnd"/>
            <w:r w:rsidRPr="006D0AA8">
              <w:rPr>
                <w:rFonts w:ascii="HelveticaNeueLT Com 55 Roman" w:hAnsi="HelveticaNeueLT Com 55 Roman"/>
                <w:sz w:val="20"/>
                <w:szCs w:val="20"/>
              </w:rPr>
              <w:t xml:space="preserve">, « Les changements conflictuels de gouvernement en droit international », in C. </w:t>
            </w:r>
            <w:proofErr w:type="spellStart"/>
            <w:r w:rsidRPr="006D0AA8">
              <w:rPr>
                <w:rFonts w:ascii="HelveticaNeueLT Com 55 Roman" w:hAnsi="HelveticaNeueLT Com 55 Roman"/>
                <w:sz w:val="20"/>
                <w:szCs w:val="20"/>
              </w:rPr>
              <w:t>Santulli</w:t>
            </w:r>
            <w:proofErr w:type="spellEnd"/>
            <w:r w:rsidRPr="006D0AA8">
              <w:rPr>
                <w:rFonts w:ascii="HelveticaNeueLT Com 55 Roman" w:hAnsi="HelveticaNeueLT Com 55 Roman"/>
                <w:sz w:val="20"/>
                <w:szCs w:val="20"/>
              </w:rPr>
              <w:t>, P. Martin-Bidou (</w:t>
            </w:r>
            <w:proofErr w:type="spellStart"/>
            <w:r w:rsidRPr="006D0AA8">
              <w:rPr>
                <w:rFonts w:ascii="HelveticaNeueLT Com 55 Roman" w:hAnsi="HelveticaNeueLT Com 55 Roman"/>
                <w:sz w:val="20"/>
                <w:szCs w:val="20"/>
              </w:rPr>
              <w:t>ed</w:t>
            </w:r>
            <w:proofErr w:type="spellEnd"/>
            <w:r w:rsidRPr="006D0AA8">
              <w:rPr>
                <w:rFonts w:ascii="HelveticaNeueLT Com 55 Roman" w:hAnsi="HelveticaNeueLT Com 55 Roman"/>
                <w:sz w:val="20"/>
                <w:szCs w:val="20"/>
              </w:rPr>
              <w:t xml:space="preserve">.), </w:t>
            </w:r>
            <w:r w:rsidRPr="006D0AA8">
              <w:rPr>
                <w:rFonts w:ascii="HelveticaNeueLT Com 55 Roman" w:hAnsi="HelveticaNeueLT Com 55 Roman"/>
                <w:i/>
                <w:iCs/>
                <w:sz w:val="20"/>
                <w:szCs w:val="20"/>
              </w:rPr>
              <w:t>Le droit international pour un monde nouveau / International Law for a New World</w:t>
            </w:r>
            <w:r w:rsidRPr="006D0AA8">
              <w:rPr>
                <w:rFonts w:ascii="HelveticaNeueLT Com 55 Roman" w:hAnsi="HelveticaNeueLT Com 55 Roman"/>
                <w:sz w:val="20"/>
                <w:szCs w:val="20"/>
              </w:rPr>
              <w:t xml:space="preserve">, Paris, </w:t>
            </w:r>
            <w:proofErr w:type="spellStart"/>
            <w:r w:rsidRPr="006D0AA8">
              <w:rPr>
                <w:rFonts w:ascii="HelveticaNeueLT Com 55 Roman" w:hAnsi="HelveticaNeueLT Com 55 Roman"/>
                <w:sz w:val="20"/>
                <w:szCs w:val="20"/>
              </w:rPr>
              <w:t>Pedone</w:t>
            </w:r>
            <w:proofErr w:type="spellEnd"/>
            <w:r w:rsidRPr="006D0AA8">
              <w:rPr>
                <w:rFonts w:ascii="HelveticaNeueLT Com 55 Roman" w:hAnsi="HelveticaNeueLT Com 55 Roman"/>
                <w:sz w:val="20"/>
                <w:szCs w:val="20"/>
              </w:rPr>
              <w:t>, 2023.</w:t>
            </w:r>
          </w:p>
          <w:p w14:paraId="48BA6D4B" w14:textId="77777777" w:rsidR="0095746F" w:rsidRPr="006D0AA8" w:rsidRDefault="0095746F" w:rsidP="005F1711">
            <w:pPr>
              <w:rPr>
                <w:rFonts w:ascii="HelveticaNeueLT Com 55 Roman" w:hAnsi="HelveticaNeueLT Com 55 Roman"/>
                <w:sz w:val="20"/>
                <w:szCs w:val="20"/>
              </w:rPr>
            </w:pPr>
          </w:p>
        </w:tc>
      </w:tr>
    </w:tbl>
    <w:p w14:paraId="14F95A57" w14:textId="77777777" w:rsidR="007E3401" w:rsidRPr="006D0AA8" w:rsidRDefault="007E3401">
      <w:pPr>
        <w:rPr>
          <w:rFonts w:ascii="HelveticaNeueLT Com 55 Roman" w:hAnsi="HelveticaNeueLT Com 55 Roman"/>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5746F" w14:paraId="7DA82828" w14:textId="77777777" w:rsidTr="0072075C">
        <w:tc>
          <w:tcPr>
            <w:tcW w:w="9062" w:type="dxa"/>
            <w:tcBorders>
              <w:bottom w:val="thickThinSmallGap" w:sz="12" w:space="0" w:color="C00000"/>
            </w:tcBorders>
          </w:tcPr>
          <w:p w14:paraId="3D0B82DD" w14:textId="77777777" w:rsidR="0095746F" w:rsidRPr="007E3401" w:rsidRDefault="000F64C1" w:rsidP="002666DD">
            <w:pPr>
              <w:rPr>
                <w:sz w:val="18"/>
                <w:szCs w:val="18"/>
              </w:rPr>
            </w:pPr>
            <w:r>
              <w:rPr>
                <w:rFonts w:ascii="HelveticaNeueLT Com 55 Roman" w:hAnsi="HelveticaNeueLT Com 55 Roman"/>
                <w:sz w:val="20"/>
                <w:szCs w:val="20"/>
              </w:rPr>
              <w:t>Mini CV de l’enseignant</w:t>
            </w:r>
            <w:r w:rsidR="00082B8D">
              <w:rPr>
                <w:rFonts w:ascii="HelveticaNeueLT Com 55 Roman" w:hAnsi="HelveticaNeueLT Com 55 Roman"/>
                <w:sz w:val="20"/>
                <w:szCs w:val="20"/>
              </w:rPr>
              <w:t xml:space="preserve"> / </w:t>
            </w:r>
            <w:r w:rsidR="002666DD">
              <w:rPr>
                <w:rFonts w:ascii="HelveticaNeueLT Com 55 Roman" w:hAnsi="HelveticaNeueLT Com 55 Roman"/>
                <w:i/>
                <w:sz w:val="18"/>
                <w:szCs w:val="18"/>
              </w:rPr>
              <w:t xml:space="preserve">Mini CV of the </w:t>
            </w:r>
            <w:proofErr w:type="spellStart"/>
            <w:r w:rsidR="002666DD">
              <w:rPr>
                <w:rFonts w:ascii="HelveticaNeueLT Com 55 Roman" w:hAnsi="HelveticaNeueLT Com 55 Roman"/>
                <w:i/>
                <w:sz w:val="18"/>
                <w:szCs w:val="18"/>
              </w:rPr>
              <w:t>teacher</w:t>
            </w:r>
            <w:proofErr w:type="spellEnd"/>
          </w:p>
        </w:tc>
      </w:tr>
      <w:tr w:rsidR="0095746F" w:rsidRPr="004F56EA" w14:paraId="7873B7EF" w14:textId="77777777" w:rsidTr="0072075C">
        <w:tc>
          <w:tcPr>
            <w:tcW w:w="9062" w:type="dxa"/>
            <w:tcBorders>
              <w:top w:val="thickThinSmallGap" w:sz="12" w:space="0" w:color="C00000"/>
            </w:tcBorders>
          </w:tcPr>
          <w:p w14:paraId="61C680C5" w14:textId="6CA598C3" w:rsidR="00160377" w:rsidRPr="005F7504" w:rsidRDefault="00160377" w:rsidP="00160377">
            <w:pPr>
              <w:rPr>
                <w:rFonts w:ascii="Helvetica" w:hAnsi="Helvetica"/>
                <w:bCs/>
                <w:sz w:val="20"/>
                <w:szCs w:val="20"/>
              </w:rPr>
            </w:pPr>
            <w:r w:rsidRPr="005F7504">
              <w:rPr>
                <w:rFonts w:ascii="Helvetica" w:hAnsi="Helvetica"/>
                <w:bCs/>
                <w:i/>
                <w:iCs/>
                <w:sz w:val="20"/>
                <w:szCs w:val="20"/>
              </w:rPr>
              <w:t>Agrégé des Facultés de droit</w:t>
            </w:r>
            <w:r w:rsidR="00FE6D87" w:rsidRPr="005F7504">
              <w:rPr>
                <w:rFonts w:ascii="Helvetica" w:hAnsi="Helvetica"/>
                <w:bCs/>
                <w:sz w:val="20"/>
                <w:szCs w:val="20"/>
              </w:rPr>
              <w:t xml:space="preserve"> (2000)</w:t>
            </w:r>
            <w:r w:rsidRPr="005F7504">
              <w:rPr>
                <w:rFonts w:ascii="Helvetica" w:hAnsi="Helvetica"/>
                <w:bCs/>
                <w:sz w:val="20"/>
                <w:szCs w:val="20"/>
              </w:rPr>
              <w:t xml:space="preserve">, </w:t>
            </w:r>
            <w:proofErr w:type="spellStart"/>
            <w:r w:rsidRPr="005F7504">
              <w:rPr>
                <w:rFonts w:ascii="Helvetica" w:hAnsi="Helvetica"/>
                <w:bCs/>
                <w:sz w:val="20"/>
                <w:szCs w:val="20"/>
              </w:rPr>
              <w:t>professor</w:t>
            </w:r>
            <w:proofErr w:type="spellEnd"/>
            <w:r w:rsidRPr="005F7504">
              <w:rPr>
                <w:rFonts w:ascii="Helvetica" w:hAnsi="Helvetica"/>
                <w:bCs/>
                <w:sz w:val="20"/>
                <w:szCs w:val="20"/>
              </w:rPr>
              <w:t xml:space="preserve"> at the Institut d’Etudes Politiques d’Aix-en-Provence (2024-), at the Univ. Paris-Panthéon-Assas (2006-2024) a. at the Univ. </w:t>
            </w:r>
            <w:proofErr w:type="gramStart"/>
            <w:r w:rsidRPr="005F7504">
              <w:rPr>
                <w:rFonts w:ascii="Helvetica" w:hAnsi="Helvetica"/>
                <w:bCs/>
                <w:sz w:val="20"/>
                <w:szCs w:val="20"/>
              </w:rPr>
              <w:t>of</w:t>
            </w:r>
            <w:proofErr w:type="gramEnd"/>
            <w:r w:rsidRPr="005F7504">
              <w:rPr>
                <w:rFonts w:ascii="Helvetica" w:hAnsi="Helvetica"/>
                <w:bCs/>
                <w:sz w:val="20"/>
                <w:szCs w:val="20"/>
              </w:rPr>
              <w:t xml:space="preserve"> Bordeaux (2000-2004). Former </w:t>
            </w:r>
            <w:proofErr w:type="spellStart"/>
            <w:r w:rsidRPr="005F7504">
              <w:rPr>
                <w:rFonts w:ascii="Helvetica" w:hAnsi="Helvetica"/>
                <w:bCs/>
                <w:sz w:val="20"/>
                <w:szCs w:val="20"/>
              </w:rPr>
              <w:t>director</w:t>
            </w:r>
            <w:proofErr w:type="spellEnd"/>
            <w:r w:rsidRPr="005F7504">
              <w:rPr>
                <w:rFonts w:ascii="Helvetica" w:hAnsi="Helvetica"/>
                <w:bCs/>
                <w:sz w:val="20"/>
                <w:szCs w:val="20"/>
              </w:rPr>
              <w:t xml:space="preserve"> of the Institut des Hautes Etudes Internationales at Panthéon-Assas (2012-2024).</w:t>
            </w:r>
          </w:p>
          <w:p w14:paraId="5BDFE306" w14:textId="23824A1C" w:rsidR="00160377" w:rsidRPr="005F7504" w:rsidRDefault="00160377" w:rsidP="00160377">
            <w:pPr>
              <w:rPr>
                <w:rFonts w:ascii="Helvetica" w:hAnsi="Helvetica"/>
                <w:bCs/>
                <w:iCs/>
                <w:sz w:val="20"/>
                <w:szCs w:val="20"/>
                <w:lang w:val="en-GB"/>
              </w:rPr>
            </w:pPr>
            <w:r w:rsidRPr="005F7504">
              <w:rPr>
                <w:rFonts w:ascii="Helvetica" w:hAnsi="Helvetica"/>
                <w:bCs/>
                <w:sz w:val="20"/>
                <w:szCs w:val="20"/>
                <w:lang w:val="en-GB"/>
              </w:rPr>
              <w:t xml:space="preserve">Director of the </w:t>
            </w:r>
            <w:r w:rsidRPr="005F7504">
              <w:rPr>
                <w:rFonts w:ascii="Helvetica" w:hAnsi="Helvetica"/>
                <w:bCs/>
                <w:i/>
                <w:sz w:val="20"/>
                <w:szCs w:val="20"/>
                <w:lang w:val="en-GB"/>
              </w:rPr>
              <w:t xml:space="preserve">Revue </w:t>
            </w:r>
            <w:proofErr w:type="spellStart"/>
            <w:r w:rsidRPr="005F7504">
              <w:rPr>
                <w:rFonts w:ascii="Helvetica" w:hAnsi="Helvetica"/>
                <w:bCs/>
                <w:i/>
                <w:sz w:val="20"/>
                <w:szCs w:val="20"/>
                <w:lang w:val="en-GB"/>
              </w:rPr>
              <w:t>générale</w:t>
            </w:r>
            <w:proofErr w:type="spellEnd"/>
            <w:r w:rsidRPr="005F7504">
              <w:rPr>
                <w:rFonts w:ascii="Helvetica" w:hAnsi="Helvetica"/>
                <w:bCs/>
                <w:i/>
                <w:sz w:val="20"/>
                <w:szCs w:val="20"/>
                <w:lang w:val="en-GB"/>
              </w:rPr>
              <w:t xml:space="preserve"> de droit international public</w:t>
            </w:r>
            <w:r w:rsidRPr="005F7504">
              <w:rPr>
                <w:rFonts w:ascii="Helvetica" w:hAnsi="Helvetica"/>
                <w:bCs/>
                <w:iCs/>
                <w:sz w:val="20"/>
                <w:szCs w:val="20"/>
                <w:lang w:val="en-GB"/>
              </w:rPr>
              <w:t xml:space="preserve"> (since 2009</w:t>
            </w:r>
            <w:proofErr w:type="gramStart"/>
            <w:r w:rsidRPr="005F7504">
              <w:rPr>
                <w:rFonts w:ascii="Helvetica" w:hAnsi="Helvetica"/>
                <w:bCs/>
                <w:iCs/>
                <w:sz w:val="20"/>
                <w:szCs w:val="20"/>
                <w:lang w:val="en-GB"/>
              </w:rPr>
              <w:t>) ;</w:t>
            </w:r>
            <w:proofErr w:type="gramEnd"/>
            <w:r w:rsidRPr="005F7504">
              <w:rPr>
                <w:rFonts w:ascii="Helvetica" w:hAnsi="Helvetica"/>
                <w:bCs/>
                <w:iCs/>
                <w:sz w:val="20"/>
                <w:szCs w:val="20"/>
                <w:lang w:val="en-GB"/>
              </w:rPr>
              <w:t xml:space="preserve"> </w:t>
            </w:r>
            <w:r w:rsidRPr="005F7504">
              <w:rPr>
                <w:rFonts w:ascii="Helvetica" w:hAnsi="Helvetica"/>
                <w:sz w:val="20"/>
                <w:szCs w:val="20"/>
                <w:lang w:val="en-US"/>
              </w:rPr>
              <w:t xml:space="preserve">Member of the editorial board and/or of the scientific council of different other reviews and series, including the </w:t>
            </w:r>
            <w:r w:rsidRPr="005F7504">
              <w:rPr>
                <w:rFonts w:ascii="Helvetica" w:hAnsi="Helvetica"/>
                <w:i/>
                <w:sz w:val="20"/>
                <w:szCs w:val="20"/>
                <w:lang w:val="en-US"/>
              </w:rPr>
              <w:t xml:space="preserve">Revue </w:t>
            </w:r>
            <w:proofErr w:type="spellStart"/>
            <w:r w:rsidRPr="005F7504">
              <w:rPr>
                <w:rFonts w:ascii="Helvetica" w:hAnsi="Helvetica"/>
                <w:i/>
                <w:sz w:val="20"/>
                <w:szCs w:val="20"/>
                <w:lang w:val="en-US"/>
              </w:rPr>
              <w:t>Française</w:t>
            </w:r>
            <w:proofErr w:type="spellEnd"/>
            <w:r w:rsidRPr="005F7504">
              <w:rPr>
                <w:rFonts w:ascii="Helvetica" w:hAnsi="Helvetica"/>
                <w:i/>
                <w:sz w:val="20"/>
                <w:szCs w:val="20"/>
                <w:lang w:val="en-US"/>
              </w:rPr>
              <w:t xml:space="preserve"> de Droit </w:t>
            </w:r>
            <w:proofErr w:type="spellStart"/>
            <w:r w:rsidRPr="005F7504">
              <w:rPr>
                <w:rFonts w:ascii="Helvetica" w:hAnsi="Helvetica"/>
                <w:i/>
                <w:sz w:val="20"/>
                <w:szCs w:val="20"/>
                <w:lang w:val="en-US"/>
              </w:rPr>
              <w:t>Administratif</w:t>
            </w:r>
            <w:proofErr w:type="spellEnd"/>
            <w:r w:rsidRPr="005F7504">
              <w:rPr>
                <w:rFonts w:ascii="Helvetica" w:hAnsi="Helvetica"/>
                <w:sz w:val="20"/>
                <w:szCs w:val="20"/>
                <w:lang w:val="en-US"/>
              </w:rPr>
              <w:t xml:space="preserve">, the Review </w:t>
            </w:r>
            <w:proofErr w:type="spellStart"/>
            <w:r w:rsidRPr="005F7504">
              <w:rPr>
                <w:rFonts w:ascii="Helvetica" w:hAnsi="Helvetica"/>
                <w:i/>
                <w:sz w:val="20"/>
                <w:szCs w:val="20"/>
                <w:lang w:val="en-US"/>
              </w:rPr>
              <w:t>Diritti</w:t>
            </w:r>
            <w:proofErr w:type="spellEnd"/>
            <w:r w:rsidRPr="005F7504">
              <w:rPr>
                <w:rFonts w:ascii="Helvetica" w:hAnsi="Helvetica"/>
                <w:i/>
                <w:sz w:val="20"/>
                <w:szCs w:val="20"/>
                <w:lang w:val="en-US"/>
              </w:rPr>
              <w:t xml:space="preserve"> </w:t>
            </w:r>
            <w:proofErr w:type="spellStart"/>
            <w:r w:rsidRPr="005F7504">
              <w:rPr>
                <w:rFonts w:ascii="Helvetica" w:hAnsi="Helvetica"/>
                <w:i/>
                <w:sz w:val="20"/>
                <w:szCs w:val="20"/>
                <w:lang w:val="en-US"/>
              </w:rPr>
              <w:t>umani</w:t>
            </w:r>
            <w:proofErr w:type="spellEnd"/>
            <w:r w:rsidRPr="005F7504">
              <w:rPr>
                <w:rFonts w:ascii="Helvetica" w:hAnsi="Helvetica"/>
                <w:i/>
                <w:sz w:val="20"/>
                <w:szCs w:val="20"/>
                <w:lang w:val="en-US"/>
              </w:rPr>
              <w:t xml:space="preserve"> e </w:t>
            </w:r>
            <w:proofErr w:type="spellStart"/>
            <w:r w:rsidRPr="005F7504">
              <w:rPr>
                <w:rFonts w:ascii="Helvetica" w:hAnsi="Helvetica"/>
                <w:i/>
                <w:sz w:val="20"/>
                <w:szCs w:val="20"/>
                <w:lang w:val="en-US"/>
              </w:rPr>
              <w:t>diritto</w:t>
            </w:r>
            <w:proofErr w:type="spellEnd"/>
            <w:r w:rsidRPr="005F7504">
              <w:rPr>
                <w:rFonts w:ascii="Helvetica" w:hAnsi="Helvetica"/>
                <w:i/>
                <w:sz w:val="20"/>
                <w:szCs w:val="20"/>
                <w:lang w:val="en-US"/>
              </w:rPr>
              <w:t xml:space="preserve"> </w:t>
            </w:r>
            <w:proofErr w:type="spellStart"/>
            <w:r w:rsidRPr="005F7504">
              <w:rPr>
                <w:rFonts w:ascii="Helvetica" w:hAnsi="Helvetica"/>
                <w:i/>
                <w:sz w:val="20"/>
                <w:szCs w:val="20"/>
                <w:lang w:val="en-US"/>
              </w:rPr>
              <w:t>internazionale</w:t>
            </w:r>
            <w:proofErr w:type="spellEnd"/>
            <w:r w:rsidRPr="005F7504">
              <w:rPr>
                <w:rFonts w:ascii="Helvetica" w:hAnsi="Helvetica"/>
                <w:sz w:val="20"/>
                <w:szCs w:val="20"/>
                <w:lang w:val="en-US"/>
              </w:rPr>
              <w:t xml:space="preserve">, the electronic Review of the Italian Society for International Law (SIDI) </w:t>
            </w:r>
            <w:proofErr w:type="spellStart"/>
            <w:r w:rsidRPr="005F7504">
              <w:rPr>
                <w:rFonts w:ascii="Helvetica" w:hAnsi="Helvetica"/>
                <w:i/>
                <w:sz w:val="20"/>
                <w:szCs w:val="20"/>
                <w:lang w:val="en-US"/>
              </w:rPr>
              <w:t>Quaderni</w:t>
            </w:r>
            <w:proofErr w:type="spellEnd"/>
            <w:r w:rsidRPr="005F7504">
              <w:rPr>
                <w:rFonts w:ascii="Helvetica" w:hAnsi="Helvetica"/>
                <w:i/>
                <w:sz w:val="20"/>
                <w:szCs w:val="20"/>
                <w:lang w:val="en-US"/>
              </w:rPr>
              <w:t xml:space="preserve"> di </w:t>
            </w:r>
            <w:proofErr w:type="spellStart"/>
            <w:r w:rsidRPr="005F7504">
              <w:rPr>
                <w:rFonts w:ascii="Helvetica" w:hAnsi="Helvetica"/>
                <w:i/>
                <w:sz w:val="20"/>
                <w:szCs w:val="20"/>
                <w:lang w:val="en-US"/>
              </w:rPr>
              <w:t>SIDIblog</w:t>
            </w:r>
            <w:proofErr w:type="spellEnd"/>
            <w:r w:rsidRPr="005F7504">
              <w:rPr>
                <w:rFonts w:ascii="Helvetica" w:hAnsi="Helvetica"/>
                <w:sz w:val="20"/>
                <w:szCs w:val="20"/>
                <w:lang w:val="en-US"/>
              </w:rPr>
              <w:t xml:space="preserve">, etc. </w:t>
            </w:r>
          </w:p>
          <w:p w14:paraId="3EDDA4D6" w14:textId="7D17C609" w:rsidR="00FE6D87" w:rsidRPr="005F7504" w:rsidRDefault="00160377" w:rsidP="00FE6D87">
            <w:pPr>
              <w:pStyle w:val="Normal1"/>
              <w:spacing w:line="240" w:lineRule="auto"/>
              <w:ind w:left="0" w:right="72" w:firstLine="0"/>
              <w:rPr>
                <w:rFonts w:ascii="Helvetica" w:hAnsi="Helvetica"/>
                <w:sz w:val="20"/>
                <w:szCs w:val="20"/>
              </w:rPr>
            </w:pPr>
            <w:r w:rsidRPr="005F7504">
              <w:rPr>
                <w:rFonts w:ascii="Helvetica" w:hAnsi="Helvetica"/>
                <w:sz w:val="20"/>
                <w:szCs w:val="20"/>
              </w:rPr>
              <w:t xml:space="preserve">2017 : </w:t>
            </w:r>
            <w:r w:rsidRPr="005F7504">
              <w:rPr>
                <w:rFonts w:ascii="Helvetica" w:hAnsi="Helvetica"/>
                <w:i/>
                <w:sz w:val="20"/>
                <w:szCs w:val="20"/>
              </w:rPr>
              <w:t>Officier</w:t>
            </w:r>
            <w:r w:rsidRPr="005F7504">
              <w:rPr>
                <w:rFonts w:ascii="Helvetica" w:hAnsi="Helvetica"/>
                <w:sz w:val="20"/>
                <w:szCs w:val="20"/>
              </w:rPr>
              <w:t xml:space="preserve"> in the Ordre des Palmes académiques, </w:t>
            </w:r>
            <w:r w:rsidR="00FE6D87" w:rsidRPr="005F7504">
              <w:rPr>
                <w:rFonts w:ascii="Helvetica" w:hAnsi="Helvetica"/>
                <w:sz w:val="20"/>
                <w:szCs w:val="20"/>
              </w:rPr>
              <w:t xml:space="preserve">France : </w:t>
            </w:r>
            <w:r w:rsidRPr="005F7504">
              <w:rPr>
                <w:rFonts w:ascii="Helvetica" w:hAnsi="Helvetica"/>
                <w:sz w:val="20"/>
                <w:szCs w:val="20"/>
              </w:rPr>
              <w:t xml:space="preserve">2014 : Prix </w:t>
            </w:r>
            <w:r w:rsidRPr="005F7504">
              <w:rPr>
                <w:rFonts w:ascii="Helvetica" w:hAnsi="Helvetica"/>
                <w:i/>
                <w:sz w:val="20"/>
                <w:szCs w:val="20"/>
              </w:rPr>
              <w:t>Charles Dupin</w:t>
            </w:r>
            <w:r w:rsidRPr="005F7504">
              <w:rPr>
                <w:rFonts w:ascii="Helvetica" w:hAnsi="Helvetica"/>
                <w:sz w:val="20"/>
                <w:szCs w:val="20"/>
              </w:rPr>
              <w:t xml:space="preserve"> of the Institut de France, Académie des sciences morales et politiques, for </w:t>
            </w:r>
            <w:r w:rsidR="00FE6D87" w:rsidRPr="005F7504">
              <w:rPr>
                <w:rFonts w:ascii="Helvetica" w:hAnsi="Helvetica"/>
                <w:sz w:val="20"/>
                <w:szCs w:val="20"/>
              </w:rPr>
              <w:t>the</w:t>
            </w:r>
            <w:r w:rsidRPr="005F7504">
              <w:rPr>
                <w:rFonts w:ascii="Helvetica" w:hAnsi="Helvetica"/>
                <w:sz w:val="20"/>
                <w:szCs w:val="20"/>
              </w:rPr>
              <w:t xml:space="preserve"> book </w:t>
            </w:r>
            <w:r w:rsidRPr="005F7504">
              <w:rPr>
                <w:rFonts w:ascii="Helvetica" w:hAnsi="Helvetica"/>
                <w:i/>
                <w:sz w:val="20"/>
                <w:szCs w:val="20"/>
              </w:rPr>
              <w:t>Introduction au droit international. Formation, Application, Exécution</w:t>
            </w:r>
            <w:r w:rsidR="00FE6D87" w:rsidRPr="005F7504">
              <w:rPr>
                <w:rFonts w:ascii="Helvetica" w:hAnsi="Helvetica"/>
                <w:sz w:val="20"/>
                <w:szCs w:val="20"/>
              </w:rPr>
              <w:t>.</w:t>
            </w:r>
          </w:p>
          <w:p w14:paraId="20657F13" w14:textId="3044C396" w:rsidR="0095746F" w:rsidRPr="005F7504" w:rsidRDefault="00FE6D87" w:rsidP="00FE6D87">
            <w:pPr>
              <w:rPr>
                <w:rFonts w:ascii="Helvetica" w:hAnsi="Helvetica"/>
                <w:sz w:val="20"/>
                <w:szCs w:val="20"/>
              </w:rPr>
            </w:pPr>
            <w:proofErr w:type="spellStart"/>
            <w:r w:rsidRPr="005F7504">
              <w:rPr>
                <w:rFonts w:ascii="Helvetica" w:hAnsi="Helvetica"/>
                <w:bCs/>
                <w:sz w:val="20"/>
                <w:szCs w:val="20"/>
              </w:rPr>
              <w:t>Selected</w:t>
            </w:r>
            <w:proofErr w:type="spellEnd"/>
            <w:r w:rsidRPr="005F7504">
              <w:rPr>
                <w:rFonts w:ascii="Helvetica" w:hAnsi="Helvetica"/>
                <w:bCs/>
                <w:sz w:val="20"/>
                <w:szCs w:val="20"/>
              </w:rPr>
              <w:t xml:space="preserve"> </w:t>
            </w:r>
            <w:proofErr w:type="spellStart"/>
            <w:r w:rsidRPr="005F7504">
              <w:rPr>
                <w:rFonts w:ascii="Helvetica" w:hAnsi="Helvetica"/>
                <w:bCs/>
                <w:sz w:val="20"/>
                <w:szCs w:val="20"/>
              </w:rPr>
              <w:t>works</w:t>
            </w:r>
            <w:proofErr w:type="spellEnd"/>
            <w:r w:rsidRPr="005F7504">
              <w:rPr>
                <w:rFonts w:ascii="Helvetica" w:hAnsi="Helvetica"/>
                <w:bCs/>
                <w:sz w:val="20"/>
                <w:szCs w:val="20"/>
              </w:rPr>
              <w:t> :</w:t>
            </w:r>
            <w:r w:rsidRPr="005F7504">
              <w:rPr>
                <w:rFonts w:ascii="Helvetica" w:hAnsi="Helvetica"/>
                <w:b/>
                <w:sz w:val="20"/>
                <w:szCs w:val="20"/>
              </w:rPr>
              <w:t xml:space="preserve"> </w:t>
            </w:r>
            <w:r w:rsidR="00160377" w:rsidRPr="005F7504">
              <w:rPr>
                <w:rFonts w:ascii="Helvetica" w:hAnsi="Helvetica"/>
                <w:i/>
                <w:sz w:val="20"/>
                <w:szCs w:val="20"/>
              </w:rPr>
              <w:t>Introduction au droit européen. Organisations et principes</w:t>
            </w:r>
            <w:r w:rsidR="00160377" w:rsidRPr="005F7504">
              <w:rPr>
                <w:rFonts w:ascii="Helvetica" w:hAnsi="Helvetica"/>
                <w:sz w:val="20"/>
                <w:szCs w:val="20"/>
              </w:rPr>
              <w:t>, Paris LGDJ, 2020, 286 p., 2</w:t>
            </w:r>
            <w:r w:rsidR="00160377" w:rsidRPr="005F7504">
              <w:rPr>
                <w:rFonts w:ascii="Helvetica" w:hAnsi="Helvetica"/>
                <w:sz w:val="20"/>
                <w:szCs w:val="20"/>
                <w:vertAlign w:val="superscript"/>
              </w:rPr>
              <w:t>d</w:t>
            </w:r>
            <w:r w:rsidR="00160377" w:rsidRPr="005F7504">
              <w:rPr>
                <w:rFonts w:ascii="Helvetica" w:hAnsi="Helvetica"/>
                <w:sz w:val="20"/>
                <w:szCs w:val="20"/>
              </w:rPr>
              <w:t xml:space="preserve"> </w:t>
            </w:r>
            <w:proofErr w:type="spellStart"/>
            <w:r w:rsidR="00160377" w:rsidRPr="005F7504">
              <w:rPr>
                <w:rFonts w:ascii="Helvetica" w:hAnsi="Helvetica"/>
                <w:sz w:val="20"/>
                <w:szCs w:val="20"/>
              </w:rPr>
              <w:t>ed</w:t>
            </w:r>
            <w:proofErr w:type="spellEnd"/>
            <w:r w:rsidR="00160377" w:rsidRPr="005F7504">
              <w:rPr>
                <w:rFonts w:ascii="Helvetica" w:hAnsi="Helvetica"/>
                <w:sz w:val="20"/>
                <w:szCs w:val="20"/>
              </w:rPr>
              <w:t>. 2022</w:t>
            </w:r>
            <w:r w:rsidRPr="005F7504">
              <w:rPr>
                <w:rFonts w:ascii="Helvetica" w:hAnsi="Helvetica"/>
                <w:sz w:val="20"/>
                <w:szCs w:val="20"/>
              </w:rPr>
              <w:t xml:space="preserve"> ; </w:t>
            </w:r>
            <w:r w:rsidR="00160377" w:rsidRPr="005F7504">
              <w:rPr>
                <w:rFonts w:ascii="Helvetica" w:hAnsi="Helvetica"/>
                <w:i/>
                <w:sz w:val="20"/>
                <w:szCs w:val="20"/>
              </w:rPr>
              <w:t>Introduction au droit international. Formation – Application – Exécution</w:t>
            </w:r>
            <w:r w:rsidR="00160377" w:rsidRPr="005F7504">
              <w:rPr>
                <w:rFonts w:ascii="Helvetica" w:hAnsi="Helvetica"/>
                <w:sz w:val="20"/>
                <w:szCs w:val="20"/>
              </w:rPr>
              <w:t xml:space="preserve">, Paris, </w:t>
            </w:r>
            <w:proofErr w:type="spellStart"/>
            <w:r w:rsidR="00160377" w:rsidRPr="005F7504">
              <w:rPr>
                <w:rFonts w:ascii="Helvetica" w:hAnsi="Helvetica"/>
                <w:sz w:val="20"/>
                <w:szCs w:val="20"/>
              </w:rPr>
              <w:t>Pedone</w:t>
            </w:r>
            <w:proofErr w:type="spellEnd"/>
            <w:r w:rsidR="00160377" w:rsidRPr="005F7504">
              <w:rPr>
                <w:rFonts w:ascii="Helvetica" w:hAnsi="Helvetica"/>
                <w:sz w:val="20"/>
                <w:szCs w:val="20"/>
              </w:rPr>
              <w:t>, 2013, 276 p.</w:t>
            </w:r>
            <w:r w:rsidRPr="005F7504">
              <w:rPr>
                <w:rFonts w:ascii="Helvetica" w:hAnsi="Helvetica"/>
                <w:sz w:val="20"/>
                <w:szCs w:val="20"/>
              </w:rPr>
              <w:t xml:space="preserve"> ; </w:t>
            </w:r>
            <w:r w:rsidR="00160377" w:rsidRPr="005F7504">
              <w:rPr>
                <w:rFonts w:ascii="Helvetica" w:hAnsi="Helvetica"/>
                <w:i/>
                <w:sz w:val="20"/>
                <w:szCs w:val="20"/>
              </w:rPr>
              <w:t>Droit du contentieux international</w:t>
            </w:r>
            <w:r w:rsidR="00160377" w:rsidRPr="005F7504">
              <w:rPr>
                <w:rFonts w:ascii="Helvetica" w:hAnsi="Helvetica"/>
                <w:sz w:val="20"/>
                <w:szCs w:val="20"/>
              </w:rPr>
              <w:t>, Paris, Montchrestien (coll. Précis Domat), 2005, xi + 584 p. [</w:t>
            </w:r>
            <w:proofErr w:type="spellStart"/>
            <w:r w:rsidR="00160377" w:rsidRPr="005F7504">
              <w:rPr>
                <w:rFonts w:ascii="Helvetica" w:hAnsi="Helvetica"/>
                <w:sz w:val="20"/>
                <w:szCs w:val="20"/>
              </w:rPr>
              <w:t>sold</w:t>
            </w:r>
            <w:proofErr w:type="spellEnd"/>
            <w:r w:rsidR="00160377" w:rsidRPr="005F7504">
              <w:rPr>
                <w:rFonts w:ascii="Helvetica" w:hAnsi="Helvetica"/>
                <w:sz w:val="20"/>
                <w:szCs w:val="20"/>
              </w:rPr>
              <w:t xml:space="preserve"> out], 2</w:t>
            </w:r>
            <w:r w:rsidR="00160377" w:rsidRPr="005F7504">
              <w:rPr>
                <w:rFonts w:ascii="Helvetica" w:hAnsi="Helvetica"/>
                <w:sz w:val="20"/>
                <w:szCs w:val="20"/>
                <w:vertAlign w:val="superscript"/>
              </w:rPr>
              <w:t>d</w:t>
            </w:r>
            <w:r w:rsidR="00160377" w:rsidRPr="005F7504">
              <w:rPr>
                <w:rFonts w:ascii="Helvetica" w:hAnsi="Helvetica"/>
                <w:sz w:val="20"/>
                <w:szCs w:val="20"/>
              </w:rPr>
              <w:t xml:space="preserve"> éd. 2015, 621 p.</w:t>
            </w:r>
            <w:r w:rsidRPr="005F7504">
              <w:rPr>
                <w:rFonts w:ascii="Helvetica" w:hAnsi="Helvetica"/>
                <w:sz w:val="20"/>
                <w:szCs w:val="20"/>
              </w:rPr>
              <w:t xml:space="preserve"> ; </w:t>
            </w:r>
            <w:r w:rsidR="00160377" w:rsidRPr="005F7504">
              <w:rPr>
                <w:rFonts w:ascii="Helvetica" w:hAnsi="Helvetica"/>
                <w:i/>
                <w:sz w:val="20"/>
                <w:szCs w:val="20"/>
              </w:rPr>
              <w:t>Le statut international de l’ordre juridique étatique — Etude du traitement du droit interne par le droit international</w:t>
            </w:r>
            <w:r w:rsidR="00160377" w:rsidRPr="005F7504">
              <w:rPr>
                <w:rFonts w:ascii="Helvetica" w:hAnsi="Helvetica"/>
                <w:sz w:val="20"/>
                <w:szCs w:val="20"/>
              </w:rPr>
              <w:t xml:space="preserve">, Paris, </w:t>
            </w:r>
            <w:proofErr w:type="spellStart"/>
            <w:r w:rsidR="00160377" w:rsidRPr="005F7504">
              <w:rPr>
                <w:rFonts w:ascii="Helvetica" w:hAnsi="Helvetica"/>
                <w:sz w:val="20"/>
                <w:szCs w:val="20"/>
              </w:rPr>
              <w:t>Pedone</w:t>
            </w:r>
            <w:proofErr w:type="spellEnd"/>
            <w:r w:rsidR="00160377" w:rsidRPr="005F7504">
              <w:rPr>
                <w:rFonts w:ascii="Helvetica" w:hAnsi="Helvetica"/>
                <w:sz w:val="20"/>
                <w:szCs w:val="20"/>
              </w:rPr>
              <w:t>, 2001, xiv + 540 p. [</w:t>
            </w:r>
            <w:proofErr w:type="spellStart"/>
            <w:r w:rsidR="00160377" w:rsidRPr="005F7504">
              <w:rPr>
                <w:rFonts w:ascii="Helvetica" w:hAnsi="Helvetica"/>
                <w:sz w:val="20"/>
                <w:szCs w:val="20"/>
              </w:rPr>
              <w:t>thesis</w:t>
            </w:r>
            <w:proofErr w:type="spellEnd"/>
            <w:r w:rsidR="00160377" w:rsidRPr="005F7504">
              <w:rPr>
                <w:rFonts w:ascii="Helvetica" w:hAnsi="Helvetica"/>
                <w:sz w:val="20"/>
                <w:szCs w:val="20"/>
              </w:rPr>
              <w:t xml:space="preserve"> </w:t>
            </w:r>
            <w:proofErr w:type="spellStart"/>
            <w:r w:rsidR="00160377" w:rsidRPr="005F7504">
              <w:rPr>
                <w:rFonts w:ascii="Helvetica" w:hAnsi="Helvetica"/>
                <w:sz w:val="20"/>
                <w:szCs w:val="20"/>
              </w:rPr>
              <w:t>prize</w:t>
            </w:r>
            <w:proofErr w:type="spellEnd"/>
            <w:r w:rsidR="00160377" w:rsidRPr="005F7504">
              <w:rPr>
                <w:rFonts w:ascii="Helvetica" w:hAnsi="Helvetica"/>
                <w:sz w:val="20"/>
                <w:szCs w:val="20"/>
              </w:rPr>
              <w:t xml:space="preserve"> of the </w:t>
            </w:r>
            <w:proofErr w:type="spellStart"/>
            <w:r w:rsidR="00160377" w:rsidRPr="005F7504">
              <w:rPr>
                <w:rFonts w:ascii="Helvetica" w:hAnsi="Helvetica"/>
                <w:sz w:val="20"/>
                <w:szCs w:val="20"/>
              </w:rPr>
              <w:t>University</w:t>
            </w:r>
            <w:proofErr w:type="spellEnd"/>
            <w:r w:rsidR="00160377" w:rsidRPr="005F7504">
              <w:rPr>
                <w:rFonts w:ascii="Helvetica" w:hAnsi="Helvetica"/>
                <w:sz w:val="20"/>
                <w:szCs w:val="20"/>
              </w:rPr>
              <w:t xml:space="preserve"> Panthéon-Assas ; </w:t>
            </w:r>
            <w:r w:rsidR="00160377" w:rsidRPr="005F7504">
              <w:rPr>
                <w:rFonts w:ascii="Helvetica" w:hAnsi="Helvetica"/>
                <w:i/>
                <w:sz w:val="20"/>
                <w:szCs w:val="20"/>
              </w:rPr>
              <w:t xml:space="preserve">Suzanne </w:t>
            </w:r>
            <w:proofErr w:type="spellStart"/>
            <w:r w:rsidR="00160377" w:rsidRPr="005F7504">
              <w:rPr>
                <w:rFonts w:ascii="Helvetica" w:hAnsi="Helvetica"/>
                <w:i/>
                <w:sz w:val="20"/>
                <w:szCs w:val="20"/>
              </w:rPr>
              <w:t>Bastid</w:t>
            </w:r>
            <w:proofErr w:type="spellEnd"/>
            <w:r w:rsidR="00160377" w:rsidRPr="005F7504">
              <w:rPr>
                <w:rFonts w:ascii="Helvetica" w:hAnsi="Helvetica"/>
                <w:sz w:val="20"/>
                <w:szCs w:val="20"/>
              </w:rPr>
              <w:t xml:space="preserve"> </w:t>
            </w:r>
            <w:proofErr w:type="spellStart"/>
            <w:r w:rsidR="00160377" w:rsidRPr="005F7504">
              <w:rPr>
                <w:rFonts w:ascii="Helvetica" w:hAnsi="Helvetica"/>
                <w:sz w:val="20"/>
                <w:szCs w:val="20"/>
              </w:rPr>
              <w:t>prize</w:t>
            </w:r>
            <w:proofErr w:type="spellEnd"/>
            <w:r w:rsidR="00160377" w:rsidRPr="005F7504">
              <w:rPr>
                <w:rFonts w:ascii="Helvetica" w:hAnsi="Helvetica"/>
                <w:sz w:val="20"/>
                <w:szCs w:val="20"/>
              </w:rPr>
              <w:t xml:space="preserve"> of the Société française pour </w:t>
            </w:r>
            <w:r w:rsidR="00160377" w:rsidRPr="005F7504">
              <w:rPr>
                <w:rFonts w:ascii="Helvetica" w:hAnsi="Helvetica"/>
                <w:sz w:val="20"/>
                <w:szCs w:val="20"/>
              </w:rPr>
              <w:lastRenderedPageBreak/>
              <w:t xml:space="preserve">le droit international ; </w:t>
            </w:r>
            <w:r w:rsidR="00160377" w:rsidRPr="005F7504">
              <w:rPr>
                <w:rFonts w:ascii="Helvetica" w:hAnsi="Helvetica"/>
                <w:i/>
                <w:sz w:val="20"/>
                <w:szCs w:val="20"/>
              </w:rPr>
              <w:t>Georges Scelle</w:t>
            </w:r>
            <w:r w:rsidR="00160377" w:rsidRPr="005F7504">
              <w:rPr>
                <w:rFonts w:ascii="Helvetica" w:hAnsi="Helvetica"/>
                <w:sz w:val="20"/>
                <w:szCs w:val="20"/>
              </w:rPr>
              <w:t xml:space="preserve"> </w:t>
            </w:r>
            <w:proofErr w:type="spellStart"/>
            <w:r w:rsidR="00160377" w:rsidRPr="005F7504">
              <w:rPr>
                <w:rFonts w:ascii="Helvetica" w:hAnsi="Helvetica"/>
                <w:sz w:val="20"/>
                <w:szCs w:val="20"/>
              </w:rPr>
              <w:t>prize</w:t>
            </w:r>
            <w:proofErr w:type="spellEnd"/>
            <w:r w:rsidR="00160377" w:rsidRPr="005F7504">
              <w:rPr>
                <w:rFonts w:ascii="Helvetica" w:hAnsi="Helvetica"/>
                <w:sz w:val="20"/>
                <w:szCs w:val="20"/>
              </w:rPr>
              <w:t xml:space="preserve"> of the Chancellerie des Universités de Paris]</w:t>
            </w:r>
            <w:r w:rsidRPr="005F7504">
              <w:rPr>
                <w:rFonts w:ascii="Helvetica" w:hAnsi="Helvetica"/>
                <w:sz w:val="20"/>
                <w:szCs w:val="20"/>
              </w:rPr>
              <w:t xml:space="preserve"> ; </w:t>
            </w:r>
            <w:r w:rsidR="00160377" w:rsidRPr="005F7504">
              <w:rPr>
                <w:rFonts w:ascii="Helvetica" w:hAnsi="Helvetica"/>
                <w:i/>
                <w:sz w:val="20"/>
                <w:szCs w:val="20"/>
              </w:rPr>
              <w:t>Irrégularités internes et efficacité internationale de la nationalité</w:t>
            </w:r>
            <w:r w:rsidR="00160377" w:rsidRPr="005F7504">
              <w:rPr>
                <w:rFonts w:ascii="Helvetica" w:hAnsi="Helvetica"/>
                <w:sz w:val="20"/>
                <w:szCs w:val="20"/>
              </w:rPr>
              <w:t>, Paris, L.G.D.J., 1996, ix + 97 p.</w:t>
            </w:r>
          </w:p>
          <w:p w14:paraId="70C8B2F9" w14:textId="77777777" w:rsidR="0095746F" w:rsidRPr="004F56EA" w:rsidRDefault="0095746F" w:rsidP="005F1711">
            <w:pPr>
              <w:rPr>
                <w:rFonts w:ascii="HelveticaNeueLT Com 55 Roman" w:hAnsi="HelveticaNeueLT Com 55 Roman"/>
                <w:sz w:val="20"/>
                <w:szCs w:val="20"/>
              </w:rPr>
            </w:pPr>
          </w:p>
          <w:p w14:paraId="5E86E7B3" w14:textId="77777777" w:rsidR="0095746F" w:rsidRPr="004F56EA" w:rsidRDefault="0095746F" w:rsidP="005F1711">
            <w:pPr>
              <w:rPr>
                <w:rFonts w:ascii="HelveticaNeueLT Com 55 Roman" w:hAnsi="HelveticaNeueLT Com 55 Roman"/>
                <w:sz w:val="20"/>
                <w:szCs w:val="20"/>
              </w:rPr>
            </w:pPr>
          </w:p>
        </w:tc>
      </w:tr>
    </w:tbl>
    <w:p w14:paraId="0A6439F9" w14:textId="77777777" w:rsidR="0095746F" w:rsidRPr="004F56EA" w:rsidRDefault="0095746F" w:rsidP="000F64C1">
      <w:pPr>
        <w:rPr>
          <w:rFonts w:ascii="HelveticaNeueLT Com 55 Roman" w:hAnsi="HelveticaNeueLT Com 55 Roman"/>
          <w:sz w:val="20"/>
          <w:szCs w:val="20"/>
        </w:rPr>
      </w:pPr>
    </w:p>
    <w:sectPr w:rsidR="0095746F" w:rsidRPr="004F56EA">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225F" w14:textId="77777777" w:rsidR="00AA6031" w:rsidRDefault="00AA6031" w:rsidP="00DE233A">
      <w:pPr>
        <w:spacing w:after="0" w:line="240" w:lineRule="auto"/>
      </w:pPr>
      <w:r>
        <w:separator/>
      </w:r>
    </w:p>
  </w:endnote>
  <w:endnote w:type="continuationSeparator" w:id="0">
    <w:p w14:paraId="088EAA66" w14:textId="77777777" w:rsidR="00AA6031" w:rsidRDefault="00AA6031" w:rsidP="00DE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LT Com 55 Roman">
    <w:altName w:val="Arial"/>
    <w:panose1 w:val="020B0604020202020204"/>
    <w:charset w:val="00"/>
    <w:family w:val="swiss"/>
    <w:pitch w:val="variable"/>
    <w:sig w:usb0="8000008F" w:usb1="10002042"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980295"/>
      <w:docPartObj>
        <w:docPartGallery w:val="Page Numbers (Bottom of Page)"/>
        <w:docPartUnique/>
      </w:docPartObj>
    </w:sdtPr>
    <w:sdtEndPr/>
    <w:sdtContent>
      <w:p w14:paraId="430C9610" w14:textId="77777777" w:rsidR="00D5751B" w:rsidRDefault="00D5751B">
        <w:pPr>
          <w:pStyle w:val="Pieddepage"/>
          <w:jc w:val="right"/>
        </w:pPr>
        <w:r>
          <w:fldChar w:fldCharType="begin"/>
        </w:r>
        <w:r>
          <w:instrText>PAGE   \* MERGEFORMAT</w:instrText>
        </w:r>
        <w:r>
          <w:fldChar w:fldCharType="separate"/>
        </w:r>
        <w:r w:rsidR="002666DD">
          <w:rPr>
            <w:noProof/>
          </w:rPr>
          <w:t>2</w:t>
        </w:r>
        <w:r>
          <w:fldChar w:fldCharType="end"/>
        </w:r>
      </w:p>
    </w:sdtContent>
  </w:sdt>
  <w:p w14:paraId="54E5CBAA" w14:textId="77777777" w:rsidR="00D5751B" w:rsidRDefault="000F0D09" w:rsidP="000F0D09">
    <w:pPr>
      <w:pStyle w:val="Pieddepage"/>
      <w:jc w:val="center"/>
    </w:pPr>
    <w:r>
      <w:rPr>
        <w:noProof/>
      </w:rPr>
      <w:drawing>
        <wp:inline distT="0" distB="0" distL="0" distR="0" wp14:anchorId="208EE5EE" wp14:editId="2517A604">
          <wp:extent cx="1017616" cy="5285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sPoAix_Logotype_Web.png"/>
                  <pic:cNvPicPr/>
                </pic:nvPicPr>
                <pic:blipFill>
                  <a:blip r:embed="rId1">
                    <a:extLst>
                      <a:ext uri="{28A0092B-C50C-407E-A947-70E740481C1C}">
                        <a14:useLocalDpi xmlns:a14="http://schemas.microsoft.com/office/drawing/2010/main" val="0"/>
                      </a:ext>
                    </a:extLst>
                  </a:blip>
                  <a:stretch>
                    <a:fillRect/>
                  </a:stretch>
                </pic:blipFill>
                <pic:spPr>
                  <a:xfrm>
                    <a:off x="0" y="0"/>
                    <a:ext cx="1027370" cy="5336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59793" w14:textId="77777777" w:rsidR="00AA6031" w:rsidRDefault="00AA6031" w:rsidP="00DE233A">
      <w:pPr>
        <w:spacing w:after="0" w:line="240" w:lineRule="auto"/>
      </w:pPr>
      <w:r>
        <w:separator/>
      </w:r>
    </w:p>
  </w:footnote>
  <w:footnote w:type="continuationSeparator" w:id="0">
    <w:p w14:paraId="6E9CFFA9" w14:textId="77777777" w:rsidR="00AA6031" w:rsidRDefault="00AA6031" w:rsidP="00DE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7ECA" w14:textId="77777777" w:rsidR="0072075C" w:rsidRDefault="004622A2">
    <w:pPr>
      <w:pStyle w:val="En-tte"/>
    </w:pPr>
    <w:r>
      <w:rPr>
        <w:noProof/>
      </w:rPr>
      <w:pict w14:anchorId="5E8AE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3" o:spid="_x0000_s1030" type="#_x0000_t75" style="position:absolute;margin-left:0;margin-top:0;width:453.4pt;height:513.95pt;z-index:-251657216;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543905"/>
      <w:docPartObj>
        <w:docPartGallery w:val="Watermarks"/>
        <w:docPartUnique/>
      </w:docPartObj>
    </w:sdtPr>
    <w:sdtEndPr/>
    <w:sdtContent>
      <w:p w14:paraId="1BD393A5" w14:textId="77777777" w:rsidR="0095746F" w:rsidRDefault="004622A2" w:rsidP="00786939">
        <w:pPr>
          <w:pStyle w:val="En-tte"/>
          <w:jc w:val="right"/>
        </w:pPr>
        <w:r>
          <w:rPr>
            <w:noProof/>
          </w:rPr>
          <w:pict w14:anchorId="128C0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4" o:spid="_x0000_s1031" type="#_x0000_t75" style="position:absolute;left:0;text-align:left;margin-left:0;margin-top:0;width:453.4pt;height:513.95pt;z-index:-251656192;mso-position-horizontal:center;mso-position-horizontal-relative:margin;mso-position-vertical:center;mso-position-vertical-relative:margin" o:allowincell="f">
              <v:imagedata r:id="rId1" o:title="22353Fichier 2-8(1) (1)"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198C" w14:textId="77777777" w:rsidR="0072075C" w:rsidRDefault="004622A2">
    <w:pPr>
      <w:pStyle w:val="En-tte"/>
    </w:pPr>
    <w:r>
      <w:rPr>
        <w:noProof/>
      </w:rPr>
      <w:pict w14:anchorId="1748B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2" o:spid="_x0000_s1029" type="#_x0000_t75" style="position:absolute;margin-left:0;margin-top:0;width:453.4pt;height:513.95pt;z-index:-251658240;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9"/>
    <w:rsid w:val="00004B48"/>
    <w:rsid w:val="00010A8D"/>
    <w:rsid w:val="000149A6"/>
    <w:rsid w:val="000302AA"/>
    <w:rsid w:val="00060CF5"/>
    <w:rsid w:val="00070F19"/>
    <w:rsid w:val="00082B8D"/>
    <w:rsid w:val="00090EAD"/>
    <w:rsid w:val="000E4E64"/>
    <w:rsid w:val="000F0D09"/>
    <w:rsid w:val="000F64C1"/>
    <w:rsid w:val="001124FE"/>
    <w:rsid w:val="00122722"/>
    <w:rsid w:val="00154E84"/>
    <w:rsid w:val="00160377"/>
    <w:rsid w:val="00160E5B"/>
    <w:rsid w:val="00166C02"/>
    <w:rsid w:val="001803CC"/>
    <w:rsid w:val="001810FF"/>
    <w:rsid w:val="001A194A"/>
    <w:rsid w:val="001A645C"/>
    <w:rsid w:val="001B0A76"/>
    <w:rsid w:val="001B1EDC"/>
    <w:rsid w:val="001C7A16"/>
    <w:rsid w:val="001E4274"/>
    <w:rsid w:val="001F3C9D"/>
    <w:rsid w:val="001F75C0"/>
    <w:rsid w:val="0023762E"/>
    <w:rsid w:val="0024490C"/>
    <w:rsid w:val="002666DD"/>
    <w:rsid w:val="002842C9"/>
    <w:rsid w:val="002A15FD"/>
    <w:rsid w:val="002A2833"/>
    <w:rsid w:val="002B42AE"/>
    <w:rsid w:val="002C1FAF"/>
    <w:rsid w:val="002C265A"/>
    <w:rsid w:val="002D041F"/>
    <w:rsid w:val="0030559C"/>
    <w:rsid w:val="00334C8A"/>
    <w:rsid w:val="00335F50"/>
    <w:rsid w:val="003548C9"/>
    <w:rsid w:val="00371011"/>
    <w:rsid w:val="003714FC"/>
    <w:rsid w:val="003974CE"/>
    <w:rsid w:val="003C7D83"/>
    <w:rsid w:val="003F28AA"/>
    <w:rsid w:val="00413A6B"/>
    <w:rsid w:val="00413D74"/>
    <w:rsid w:val="00431667"/>
    <w:rsid w:val="00446608"/>
    <w:rsid w:val="00453D0D"/>
    <w:rsid w:val="00463287"/>
    <w:rsid w:val="004A49D6"/>
    <w:rsid w:val="004D5708"/>
    <w:rsid w:val="004E7EA0"/>
    <w:rsid w:val="004F56EA"/>
    <w:rsid w:val="00504DCC"/>
    <w:rsid w:val="00511462"/>
    <w:rsid w:val="00552438"/>
    <w:rsid w:val="005A4319"/>
    <w:rsid w:val="005B3120"/>
    <w:rsid w:val="005D3B3A"/>
    <w:rsid w:val="005F7504"/>
    <w:rsid w:val="00622E86"/>
    <w:rsid w:val="006235F5"/>
    <w:rsid w:val="00644196"/>
    <w:rsid w:val="00667611"/>
    <w:rsid w:val="006A4A6A"/>
    <w:rsid w:val="006A6EA5"/>
    <w:rsid w:val="006B368D"/>
    <w:rsid w:val="006D0AA8"/>
    <w:rsid w:val="006D3C13"/>
    <w:rsid w:val="006D3C60"/>
    <w:rsid w:val="006E686D"/>
    <w:rsid w:val="006F6C97"/>
    <w:rsid w:val="007068D3"/>
    <w:rsid w:val="00716AE4"/>
    <w:rsid w:val="0072075C"/>
    <w:rsid w:val="00767EC9"/>
    <w:rsid w:val="007707D2"/>
    <w:rsid w:val="00786939"/>
    <w:rsid w:val="00792CE5"/>
    <w:rsid w:val="007B69A1"/>
    <w:rsid w:val="007C5A55"/>
    <w:rsid w:val="007C6DB2"/>
    <w:rsid w:val="007D2AD7"/>
    <w:rsid w:val="007E3401"/>
    <w:rsid w:val="007E7049"/>
    <w:rsid w:val="00803948"/>
    <w:rsid w:val="00806EC0"/>
    <w:rsid w:val="008103A3"/>
    <w:rsid w:val="00817895"/>
    <w:rsid w:val="008374B3"/>
    <w:rsid w:val="00875B84"/>
    <w:rsid w:val="008763D6"/>
    <w:rsid w:val="0089019A"/>
    <w:rsid w:val="008B1E3B"/>
    <w:rsid w:val="008B70AD"/>
    <w:rsid w:val="008B75AE"/>
    <w:rsid w:val="00913621"/>
    <w:rsid w:val="00923C6F"/>
    <w:rsid w:val="0093194F"/>
    <w:rsid w:val="009520CA"/>
    <w:rsid w:val="0095746F"/>
    <w:rsid w:val="00960E8A"/>
    <w:rsid w:val="009669AC"/>
    <w:rsid w:val="0098032B"/>
    <w:rsid w:val="00992697"/>
    <w:rsid w:val="009E4CEE"/>
    <w:rsid w:val="009F14F9"/>
    <w:rsid w:val="00A67CAE"/>
    <w:rsid w:val="00A75798"/>
    <w:rsid w:val="00A96EC7"/>
    <w:rsid w:val="00A97D34"/>
    <w:rsid w:val="00AA5098"/>
    <w:rsid w:val="00AA6031"/>
    <w:rsid w:val="00AB5768"/>
    <w:rsid w:val="00AD3FEB"/>
    <w:rsid w:val="00AD7103"/>
    <w:rsid w:val="00AF11DA"/>
    <w:rsid w:val="00B1417D"/>
    <w:rsid w:val="00B20C7D"/>
    <w:rsid w:val="00B21707"/>
    <w:rsid w:val="00B372DD"/>
    <w:rsid w:val="00B46BA9"/>
    <w:rsid w:val="00B561AF"/>
    <w:rsid w:val="00B74782"/>
    <w:rsid w:val="00B76230"/>
    <w:rsid w:val="00B81596"/>
    <w:rsid w:val="00BB360C"/>
    <w:rsid w:val="00BE3124"/>
    <w:rsid w:val="00BF2ECC"/>
    <w:rsid w:val="00C043E5"/>
    <w:rsid w:val="00C053E2"/>
    <w:rsid w:val="00C14E49"/>
    <w:rsid w:val="00C45D00"/>
    <w:rsid w:val="00C53403"/>
    <w:rsid w:val="00C67624"/>
    <w:rsid w:val="00C969BC"/>
    <w:rsid w:val="00CC6421"/>
    <w:rsid w:val="00CE4ADF"/>
    <w:rsid w:val="00D04AF1"/>
    <w:rsid w:val="00D12D24"/>
    <w:rsid w:val="00D1695D"/>
    <w:rsid w:val="00D3081E"/>
    <w:rsid w:val="00D42FB0"/>
    <w:rsid w:val="00D5751B"/>
    <w:rsid w:val="00DA3995"/>
    <w:rsid w:val="00DA6487"/>
    <w:rsid w:val="00DE233A"/>
    <w:rsid w:val="00E1216D"/>
    <w:rsid w:val="00E21683"/>
    <w:rsid w:val="00E521B6"/>
    <w:rsid w:val="00E847C3"/>
    <w:rsid w:val="00E85A1A"/>
    <w:rsid w:val="00E86A6D"/>
    <w:rsid w:val="00E97FDE"/>
    <w:rsid w:val="00EF4E7D"/>
    <w:rsid w:val="00F00442"/>
    <w:rsid w:val="00F05795"/>
    <w:rsid w:val="00F10A1E"/>
    <w:rsid w:val="00F13FAA"/>
    <w:rsid w:val="00F4189E"/>
    <w:rsid w:val="00F511C5"/>
    <w:rsid w:val="00F871BB"/>
    <w:rsid w:val="00FA741D"/>
    <w:rsid w:val="00FC3273"/>
    <w:rsid w:val="00FC7E82"/>
    <w:rsid w:val="00FD20A7"/>
    <w:rsid w:val="00FE6D87"/>
    <w:rsid w:val="00FE75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F04BC"/>
  <w15:chartTrackingRefBased/>
  <w15:docId w15:val="{BDBB6FA0-9CFA-4F53-83F0-E1D79230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33A"/>
    <w:pPr>
      <w:tabs>
        <w:tab w:val="center" w:pos="4536"/>
        <w:tab w:val="right" w:pos="9072"/>
      </w:tabs>
      <w:spacing w:after="0" w:line="240" w:lineRule="auto"/>
    </w:pPr>
  </w:style>
  <w:style w:type="character" w:customStyle="1" w:styleId="En-tteCar">
    <w:name w:val="En-tête Car"/>
    <w:basedOn w:val="Policepardfaut"/>
    <w:link w:val="En-tte"/>
    <w:uiPriority w:val="99"/>
    <w:rsid w:val="00DE233A"/>
  </w:style>
  <w:style w:type="paragraph" w:styleId="Pieddepage">
    <w:name w:val="footer"/>
    <w:basedOn w:val="Normal"/>
    <w:link w:val="PieddepageCar"/>
    <w:uiPriority w:val="99"/>
    <w:unhideWhenUsed/>
    <w:rsid w:val="00DE2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33A"/>
  </w:style>
  <w:style w:type="paragraph" w:styleId="Paragraphedeliste">
    <w:name w:val="List Paragraph"/>
    <w:basedOn w:val="Normal"/>
    <w:uiPriority w:val="34"/>
    <w:qFormat/>
    <w:rsid w:val="000E4E64"/>
    <w:pPr>
      <w:ind w:left="720"/>
      <w:contextualSpacing/>
    </w:pPr>
  </w:style>
  <w:style w:type="paragraph" w:customStyle="1" w:styleId="Normal1">
    <w:name w:val="Normal1"/>
    <w:basedOn w:val="Notedebasdepage"/>
    <w:rsid w:val="00160377"/>
    <w:pPr>
      <w:tabs>
        <w:tab w:val="left" w:pos="142"/>
      </w:tabs>
      <w:overflowPunct w:val="0"/>
      <w:autoSpaceDE w:val="0"/>
      <w:autoSpaceDN w:val="0"/>
      <w:adjustRightInd w:val="0"/>
      <w:spacing w:line="360" w:lineRule="auto"/>
      <w:ind w:left="567" w:right="567" w:firstLine="284"/>
      <w:jc w:val="both"/>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60377"/>
    <w:rPr>
      <w:i/>
      <w:iCs/>
    </w:rPr>
  </w:style>
  <w:style w:type="paragraph" w:styleId="Notedebasdepage">
    <w:name w:val="footnote text"/>
    <w:basedOn w:val="Normal"/>
    <w:link w:val="NotedebasdepageCar"/>
    <w:uiPriority w:val="99"/>
    <w:semiHidden/>
    <w:unhideWhenUsed/>
    <w:rsid w:val="001603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03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5825">
      <w:bodyDiv w:val="1"/>
      <w:marLeft w:val="0"/>
      <w:marRight w:val="0"/>
      <w:marTop w:val="0"/>
      <w:marBottom w:val="0"/>
      <w:divBdr>
        <w:top w:val="none" w:sz="0" w:space="0" w:color="auto"/>
        <w:left w:val="none" w:sz="0" w:space="0" w:color="auto"/>
        <w:bottom w:val="none" w:sz="0" w:space="0" w:color="auto"/>
        <w:right w:val="none" w:sz="0" w:space="0" w:color="auto"/>
      </w:divBdr>
    </w:div>
    <w:div w:id="116150045">
      <w:bodyDiv w:val="1"/>
      <w:marLeft w:val="0"/>
      <w:marRight w:val="0"/>
      <w:marTop w:val="0"/>
      <w:marBottom w:val="0"/>
      <w:divBdr>
        <w:top w:val="none" w:sz="0" w:space="0" w:color="auto"/>
        <w:left w:val="none" w:sz="0" w:space="0" w:color="auto"/>
        <w:bottom w:val="none" w:sz="0" w:space="0" w:color="auto"/>
        <w:right w:val="none" w:sz="0" w:space="0" w:color="auto"/>
      </w:divBdr>
    </w:div>
    <w:div w:id="677582131">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3FB9B-C908-48F4-B1BA-A2AFB396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5068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SAVILL</dc:creator>
  <cp:keywords/>
  <dc:description/>
  <cp:lastModifiedBy>Hélène Dubray</cp:lastModifiedBy>
  <cp:revision>2</cp:revision>
  <dcterms:created xsi:type="dcterms:W3CDTF">2025-02-27T07:48:00Z</dcterms:created>
  <dcterms:modified xsi:type="dcterms:W3CDTF">2025-02-27T07:48:00Z</dcterms:modified>
</cp:coreProperties>
</file>